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E4" w:rsidRPr="009E3D7E" w:rsidRDefault="008F6752" w:rsidP="009E3D7E">
      <w:r>
        <w:t>IZP.3510.7.2022</w:t>
      </w:r>
    </w:p>
    <w:p w:rsidR="00752DE4" w:rsidRDefault="00F45603" w:rsidP="00752DE4">
      <w:pPr>
        <w:jc w:val="center"/>
        <w:rPr>
          <w:sz w:val="28"/>
        </w:rPr>
      </w:pPr>
      <w:r>
        <w:rPr>
          <w:sz w:val="28"/>
        </w:rPr>
        <w:t xml:space="preserve"> </w:t>
      </w:r>
      <w:r w:rsidR="00752DE4">
        <w:rPr>
          <w:sz w:val="28"/>
        </w:rPr>
        <w:t xml:space="preserve"> SPECYFIKACJE TECHNICZNE</w:t>
      </w:r>
      <w:r>
        <w:rPr>
          <w:sz w:val="28"/>
        </w:rPr>
        <w:t xml:space="preserve"> WYKONANIA I ODBIORU ROBÓT BUDOWLANYCH</w:t>
      </w:r>
    </w:p>
    <w:p w:rsidR="009E3D7E" w:rsidRPr="009E3D7E" w:rsidRDefault="009E3D7E" w:rsidP="009E3D7E">
      <w:pPr>
        <w:jc w:val="center"/>
        <w:rPr>
          <w:rFonts w:ascii="Arial" w:hAnsi="Arial" w:cs="Arial"/>
          <w:b/>
          <w:sz w:val="24"/>
          <w:szCs w:val="24"/>
          <w:lang w:eastAsia="pl-PL"/>
        </w:rPr>
      </w:pPr>
      <w:r w:rsidRPr="009E3D7E">
        <w:rPr>
          <w:rFonts w:ascii="Arial" w:hAnsi="Arial" w:cs="Arial"/>
          <w:sz w:val="24"/>
          <w:szCs w:val="24"/>
        </w:rPr>
        <w:t xml:space="preserve">Dotyczy: </w:t>
      </w:r>
      <w:r w:rsidRPr="009E3D7E">
        <w:rPr>
          <w:rFonts w:ascii="Arial" w:hAnsi="Arial" w:cs="Arial"/>
          <w:b/>
          <w:bCs/>
          <w:sz w:val="24"/>
          <w:szCs w:val="24"/>
        </w:rPr>
        <w:t xml:space="preserve"> remonty</w:t>
      </w:r>
      <w:r w:rsidR="00E558D1">
        <w:rPr>
          <w:rFonts w:ascii="Arial" w:hAnsi="Arial" w:cs="Arial"/>
          <w:b/>
          <w:bCs/>
          <w:sz w:val="24"/>
          <w:szCs w:val="24"/>
        </w:rPr>
        <w:t xml:space="preserve">i </w:t>
      </w:r>
      <w:r w:rsidRPr="009E3D7E">
        <w:rPr>
          <w:rFonts w:ascii="Arial" w:hAnsi="Arial" w:cs="Arial"/>
          <w:b/>
          <w:bCs/>
          <w:sz w:val="24"/>
          <w:szCs w:val="24"/>
        </w:rPr>
        <w:t xml:space="preserve"> dróg powiatowych położonych na terenie powiatu biłgorajskiego</w:t>
      </w:r>
    </w:p>
    <w:p w:rsidR="009E3D7E" w:rsidRPr="00E558D1" w:rsidRDefault="009E3D7E" w:rsidP="009E3D7E">
      <w:pPr>
        <w:jc w:val="both"/>
        <w:rPr>
          <w:rFonts w:ascii="Arial" w:hAnsi="Arial" w:cs="Arial"/>
          <w:b/>
          <w:sz w:val="24"/>
          <w:szCs w:val="24"/>
        </w:rPr>
      </w:pPr>
      <w:r w:rsidRPr="00E558D1">
        <w:rPr>
          <w:rFonts w:ascii="Arial" w:hAnsi="Arial" w:cs="Arial"/>
          <w:b/>
          <w:sz w:val="24"/>
          <w:szCs w:val="24"/>
        </w:rPr>
        <w:t xml:space="preserve">Zadanie 1 - </w:t>
      </w:r>
      <w:r w:rsidR="00E558D1" w:rsidRPr="00E558D1">
        <w:rPr>
          <w:rFonts w:ascii="Arial" w:hAnsi="Arial" w:cs="Arial"/>
          <w:b/>
          <w:sz w:val="24"/>
          <w:szCs w:val="24"/>
        </w:rPr>
        <w:t>remont drogi powiatowej nr 2936L Bidaczów Stary – Luchów Górny                              w miejscowości Luchów Górny.</w:t>
      </w:r>
    </w:p>
    <w:p w:rsidR="00E558D1" w:rsidRPr="008B7E5A" w:rsidRDefault="00E558D1" w:rsidP="00E558D1">
      <w:pPr>
        <w:pStyle w:val="Akapitzlist"/>
        <w:ind w:left="0"/>
        <w:rPr>
          <w:rFonts w:ascii="Arial" w:hAnsi="Arial" w:cs="Arial"/>
          <w:b/>
        </w:rPr>
      </w:pPr>
      <w:r>
        <w:rPr>
          <w:rFonts w:ascii="Arial" w:hAnsi="Arial" w:cs="Arial"/>
          <w:b/>
        </w:rPr>
        <w:t>Zadanie 2</w:t>
      </w:r>
      <w:r w:rsidRPr="008B7E5A">
        <w:rPr>
          <w:rFonts w:ascii="Arial" w:hAnsi="Arial" w:cs="Arial"/>
          <w:b/>
        </w:rPr>
        <w:t xml:space="preserve"> – </w:t>
      </w:r>
      <w:r>
        <w:rPr>
          <w:rFonts w:ascii="Arial" w:hAnsi="Arial" w:cs="Arial"/>
          <w:b/>
        </w:rPr>
        <w:t>przebudowa dróg powiatowych nr 2904L Chłaniów – Zabłocie – Tworyczów i 2903L Zabłocie – Nowa Wieś – Radecznica.</w:t>
      </w:r>
    </w:p>
    <w:p w:rsidR="009E3D7E" w:rsidRDefault="009E3D7E" w:rsidP="009E3D7E">
      <w:pPr>
        <w:rPr>
          <w:rFonts w:ascii="Arial" w:hAnsi="Arial" w:cs="Arial"/>
          <w:sz w:val="24"/>
          <w:szCs w:val="24"/>
        </w:rPr>
      </w:pPr>
      <w:r w:rsidRPr="009E3D7E">
        <w:rPr>
          <w:rFonts w:ascii="Arial" w:hAnsi="Arial" w:cs="Arial"/>
          <w:sz w:val="24"/>
          <w:szCs w:val="24"/>
        </w:rPr>
        <w:t>I.  D-M – 00.00.00 – Wymagania ogólne</w:t>
      </w:r>
      <w:r w:rsidR="00E54909">
        <w:rPr>
          <w:rFonts w:ascii="Arial" w:hAnsi="Arial" w:cs="Arial"/>
          <w:sz w:val="24"/>
          <w:szCs w:val="24"/>
        </w:rPr>
        <w:t>.</w:t>
      </w:r>
    </w:p>
    <w:p w:rsidR="00E54909" w:rsidRDefault="00E54909" w:rsidP="009E3D7E">
      <w:pPr>
        <w:rPr>
          <w:rFonts w:ascii="Arial" w:hAnsi="Arial" w:cs="Arial"/>
          <w:sz w:val="24"/>
          <w:szCs w:val="24"/>
        </w:rPr>
      </w:pPr>
      <w:r>
        <w:rPr>
          <w:rFonts w:ascii="Arial" w:hAnsi="Arial" w:cs="Arial"/>
          <w:sz w:val="24"/>
          <w:szCs w:val="24"/>
        </w:rPr>
        <w:t>II. D-02.00.00 – Roboty ziemne.</w:t>
      </w:r>
    </w:p>
    <w:p w:rsidR="00E54909" w:rsidRDefault="00E54909" w:rsidP="009E3D7E">
      <w:pPr>
        <w:rPr>
          <w:rFonts w:ascii="Arial" w:hAnsi="Arial" w:cs="Arial"/>
          <w:sz w:val="24"/>
          <w:szCs w:val="24"/>
        </w:rPr>
      </w:pPr>
      <w:r>
        <w:rPr>
          <w:rFonts w:ascii="Arial" w:hAnsi="Arial" w:cs="Arial"/>
          <w:sz w:val="24"/>
          <w:szCs w:val="24"/>
        </w:rPr>
        <w:t>III.  D-0</w:t>
      </w:r>
      <w:r w:rsidR="00F45603">
        <w:rPr>
          <w:rFonts w:ascii="Arial" w:hAnsi="Arial" w:cs="Arial"/>
          <w:sz w:val="24"/>
          <w:szCs w:val="24"/>
        </w:rPr>
        <w:t>3</w:t>
      </w:r>
      <w:r>
        <w:rPr>
          <w:rFonts w:ascii="Arial" w:hAnsi="Arial" w:cs="Arial"/>
          <w:sz w:val="24"/>
          <w:szCs w:val="24"/>
        </w:rPr>
        <w:t>.0</w:t>
      </w:r>
      <w:r w:rsidR="00F45603">
        <w:rPr>
          <w:rFonts w:ascii="Arial" w:hAnsi="Arial" w:cs="Arial"/>
          <w:sz w:val="24"/>
          <w:szCs w:val="24"/>
        </w:rPr>
        <w:t>1</w:t>
      </w:r>
      <w:r>
        <w:rPr>
          <w:rFonts w:ascii="Arial" w:hAnsi="Arial" w:cs="Arial"/>
          <w:sz w:val="24"/>
          <w:szCs w:val="24"/>
        </w:rPr>
        <w:t>.0</w:t>
      </w:r>
      <w:r w:rsidR="00F45603">
        <w:rPr>
          <w:rFonts w:ascii="Arial" w:hAnsi="Arial" w:cs="Arial"/>
          <w:sz w:val="24"/>
          <w:szCs w:val="24"/>
        </w:rPr>
        <w:t>1</w:t>
      </w:r>
      <w:r>
        <w:rPr>
          <w:rFonts w:ascii="Arial" w:hAnsi="Arial" w:cs="Arial"/>
          <w:sz w:val="24"/>
          <w:szCs w:val="24"/>
        </w:rPr>
        <w:t xml:space="preserve"> </w:t>
      </w:r>
      <w:r w:rsidR="00F45603">
        <w:rPr>
          <w:rFonts w:ascii="Arial" w:hAnsi="Arial" w:cs="Arial"/>
          <w:sz w:val="24"/>
          <w:szCs w:val="24"/>
        </w:rPr>
        <w:t>Przepusty pod koroną drogi</w:t>
      </w:r>
      <w:r>
        <w:rPr>
          <w:rFonts w:ascii="Arial" w:hAnsi="Arial" w:cs="Arial"/>
          <w:sz w:val="24"/>
          <w:szCs w:val="24"/>
        </w:rPr>
        <w:t>.</w:t>
      </w:r>
    </w:p>
    <w:p w:rsidR="00E54909" w:rsidRDefault="00FD6D1A" w:rsidP="009E3D7E">
      <w:pPr>
        <w:rPr>
          <w:rFonts w:ascii="Arial" w:hAnsi="Arial" w:cs="Arial"/>
          <w:sz w:val="24"/>
          <w:szCs w:val="24"/>
        </w:rPr>
      </w:pPr>
      <w:r w:rsidRPr="00FD6D1A">
        <w:rPr>
          <w:rFonts w:ascii="Arial" w:hAnsi="Arial" w:cs="Arial"/>
          <w:sz w:val="24"/>
          <w:szCs w:val="24"/>
        </w:rPr>
        <w:t>I</w:t>
      </w:r>
      <w:r w:rsidR="00E54909" w:rsidRPr="00FD6D1A">
        <w:rPr>
          <w:rFonts w:ascii="Arial" w:hAnsi="Arial" w:cs="Arial"/>
          <w:sz w:val="24"/>
          <w:szCs w:val="24"/>
        </w:rPr>
        <w:t>V</w:t>
      </w:r>
      <w:r w:rsidR="00E54909">
        <w:rPr>
          <w:rFonts w:ascii="Arial" w:hAnsi="Arial" w:cs="Arial"/>
          <w:sz w:val="24"/>
          <w:szCs w:val="24"/>
        </w:rPr>
        <w:t>. D-04.03.01 Oczyszczenie i skropienie warstw konstrukcyjnych.</w:t>
      </w:r>
    </w:p>
    <w:p w:rsidR="00E54909" w:rsidRDefault="00FD6D1A" w:rsidP="009E3D7E">
      <w:pPr>
        <w:rPr>
          <w:rFonts w:ascii="Arial" w:hAnsi="Arial" w:cs="Arial"/>
          <w:sz w:val="24"/>
          <w:szCs w:val="24"/>
        </w:rPr>
      </w:pPr>
      <w:r>
        <w:rPr>
          <w:rFonts w:ascii="Arial" w:hAnsi="Arial" w:cs="Arial"/>
          <w:sz w:val="24"/>
          <w:szCs w:val="24"/>
        </w:rPr>
        <w:t>V</w:t>
      </w:r>
      <w:r w:rsidR="00E54909">
        <w:rPr>
          <w:rFonts w:ascii="Arial" w:hAnsi="Arial" w:cs="Arial"/>
          <w:sz w:val="24"/>
          <w:szCs w:val="24"/>
        </w:rPr>
        <w:t>. D-05.03.05a Nawierzchnia z betonu asfaltowego. Warstwa ścieralna wg. WT-1 i WT- 2.</w:t>
      </w:r>
    </w:p>
    <w:p w:rsidR="00E54909" w:rsidRDefault="00FD6D1A" w:rsidP="009E3D7E">
      <w:pPr>
        <w:rPr>
          <w:rFonts w:ascii="Arial" w:hAnsi="Arial" w:cs="Arial"/>
          <w:sz w:val="24"/>
          <w:szCs w:val="24"/>
        </w:rPr>
      </w:pPr>
      <w:r>
        <w:rPr>
          <w:rFonts w:ascii="Arial" w:hAnsi="Arial" w:cs="Arial"/>
          <w:sz w:val="24"/>
          <w:szCs w:val="24"/>
        </w:rPr>
        <w:t>V</w:t>
      </w:r>
      <w:r w:rsidR="00E54909">
        <w:rPr>
          <w:rFonts w:ascii="Arial" w:hAnsi="Arial" w:cs="Arial"/>
          <w:sz w:val="24"/>
          <w:szCs w:val="24"/>
        </w:rPr>
        <w:t>I. D-05.03.05b Nawierzchnia z betonu asfaltowego. Warstwa wiążąca i wyrównawcza.</w:t>
      </w:r>
    </w:p>
    <w:p w:rsidR="00E54909" w:rsidRPr="008F6752" w:rsidRDefault="00FD6D1A" w:rsidP="009E3D7E">
      <w:pPr>
        <w:rPr>
          <w:rFonts w:ascii="Arial" w:hAnsi="Arial" w:cs="Arial"/>
          <w:sz w:val="24"/>
          <w:szCs w:val="24"/>
        </w:rPr>
      </w:pPr>
      <w:r>
        <w:rPr>
          <w:rFonts w:ascii="Arial" w:hAnsi="Arial" w:cs="Arial"/>
          <w:sz w:val="24"/>
          <w:szCs w:val="24"/>
        </w:rPr>
        <w:t>VI</w:t>
      </w:r>
      <w:r w:rsidR="00E54909" w:rsidRPr="008F6752">
        <w:rPr>
          <w:rFonts w:ascii="Arial" w:hAnsi="Arial" w:cs="Arial"/>
          <w:sz w:val="24"/>
          <w:szCs w:val="24"/>
        </w:rPr>
        <w:t>I. D-06.04.01 Rowy.</w:t>
      </w:r>
    </w:p>
    <w:p w:rsidR="00642808" w:rsidRDefault="00FD6D1A" w:rsidP="009E3D7E">
      <w:pPr>
        <w:rPr>
          <w:rFonts w:ascii="Arial" w:hAnsi="Arial" w:cs="Arial"/>
          <w:sz w:val="24"/>
          <w:szCs w:val="24"/>
        </w:rPr>
      </w:pPr>
      <w:r w:rsidRPr="00FD6D1A">
        <w:rPr>
          <w:rFonts w:ascii="Arial" w:hAnsi="Arial" w:cs="Arial"/>
          <w:sz w:val="24"/>
          <w:szCs w:val="24"/>
        </w:rPr>
        <w:t>VIII</w:t>
      </w:r>
      <w:r w:rsidR="00642808" w:rsidRPr="00FD6D1A">
        <w:rPr>
          <w:rFonts w:ascii="Arial" w:hAnsi="Arial" w:cs="Arial"/>
          <w:sz w:val="24"/>
          <w:szCs w:val="24"/>
        </w:rPr>
        <w:t xml:space="preserve">.   </w:t>
      </w:r>
      <w:r w:rsidR="00642808">
        <w:rPr>
          <w:rFonts w:ascii="Arial" w:hAnsi="Arial" w:cs="Arial"/>
          <w:sz w:val="24"/>
          <w:szCs w:val="24"/>
        </w:rPr>
        <w:t>D – 04.05.01a  Podbudowa i podłoże ulepszone z mieszanki kruszywa związanego hydraulicznie cementem</w:t>
      </w:r>
    </w:p>
    <w:p w:rsidR="00642808" w:rsidRPr="009E3D7E" w:rsidRDefault="00FD6D1A" w:rsidP="009E3D7E">
      <w:pPr>
        <w:rPr>
          <w:rFonts w:ascii="Arial" w:hAnsi="Arial" w:cs="Arial"/>
          <w:sz w:val="24"/>
          <w:szCs w:val="24"/>
        </w:rPr>
      </w:pPr>
      <w:r>
        <w:rPr>
          <w:rFonts w:ascii="Arial" w:hAnsi="Arial" w:cs="Arial"/>
          <w:sz w:val="24"/>
          <w:szCs w:val="24"/>
        </w:rPr>
        <w:t>IX</w:t>
      </w:r>
      <w:r w:rsidR="00642808">
        <w:rPr>
          <w:rFonts w:ascii="Arial" w:hAnsi="Arial" w:cs="Arial"/>
          <w:sz w:val="24"/>
          <w:szCs w:val="24"/>
        </w:rPr>
        <w:t>.  D-04.04.02b  Podbudowa zasadnicza z mieszanki kruszywa niezwiązanego.</w:t>
      </w:r>
    </w:p>
    <w:p w:rsidR="009E3D7E" w:rsidRDefault="009E3D7E" w:rsidP="009E3D7E">
      <w:pPr>
        <w:rPr>
          <w:b/>
          <w:sz w:val="28"/>
        </w:rPr>
      </w:pPr>
    </w:p>
    <w:p w:rsidR="00752DE4" w:rsidRDefault="00FD6D1A" w:rsidP="009E3D7E">
      <w:pPr>
        <w:rPr>
          <w:b/>
          <w:sz w:val="28"/>
        </w:rPr>
      </w:pPr>
      <w:r>
        <w:rPr>
          <w:b/>
          <w:sz w:val="28"/>
        </w:rPr>
        <w:t xml:space="preserve">I - </w:t>
      </w:r>
      <w:r w:rsidR="00752DE4">
        <w:rPr>
          <w:b/>
          <w:sz w:val="28"/>
        </w:rPr>
        <w:t>D - M - 00.00.00</w:t>
      </w:r>
      <w:r w:rsidR="009E3D7E">
        <w:rPr>
          <w:b/>
          <w:sz w:val="28"/>
        </w:rPr>
        <w:t xml:space="preserve">  </w:t>
      </w:r>
      <w:r w:rsidR="00752DE4">
        <w:rPr>
          <w:b/>
          <w:sz w:val="28"/>
        </w:rPr>
        <w:t>WYMAGANIA OGÓLNE</w:t>
      </w:r>
    </w:p>
    <w:p w:rsidR="00E54909" w:rsidRPr="009E3D7E" w:rsidRDefault="00E54909" w:rsidP="009E3D7E">
      <w:pPr>
        <w:rPr>
          <w:b/>
          <w:sz w:val="28"/>
        </w:rPr>
      </w:pPr>
    </w:p>
    <w:p w:rsidR="00752DE4" w:rsidRDefault="00752DE4" w:rsidP="00752DE4">
      <w:pPr>
        <w:pStyle w:val="Nagwek1"/>
      </w:pPr>
      <w:bookmarkStart w:id="0" w:name="_Toc6881279"/>
      <w:bookmarkStart w:id="1" w:name="_Toc9229973"/>
      <w:r>
        <w:t>1. WSTĘP</w:t>
      </w:r>
      <w:bookmarkEnd w:id="0"/>
      <w:bookmarkEnd w:id="1"/>
    </w:p>
    <w:p w:rsidR="00752DE4" w:rsidRDefault="00752DE4" w:rsidP="00752DE4">
      <w:pPr>
        <w:pStyle w:val="Nagwek2"/>
      </w:pPr>
      <w:r>
        <w:t>1.1. Przedmiot OST</w:t>
      </w:r>
    </w:p>
    <w:p w:rsidR="00752DE4" w:rsidRDefault="00752DE4" w:rsidP="00752DE4">
      <w:pPr>
        <w:pStyle w:val="tekstost"/>
      </w:pPr>
      <w:r>
        <w:tab/>
        <w:t>Przedmiotem niniejszej ogólnej specyfikacji technicznej (OST) są wymagania ogólne dotyczące wykonania i odbioru robót drogowych i mostowych.</w:t>
      </w:r>
    </w:p>
    <w:p w:rsidR="00752DE4" w:rsidRDefault="00752DE4" w:rsidP="00752DE4">
      <w:pPr>
        <w:pStyle w:val="Nagwek2"/>
      </w:pPr>
      <w:r>
        <w:t>1.2. Zakres stosowania OST</w:t>
      </w:r>
    </w:p>
    <w:p w:rsidR="00752DE4" w:rsidRDefault="00752DE4" w:rsidP="00752DE4">
      <w:r>
        <w:tab/>
        <w:t>Ogólna specyfikacja techniczna stanowi obowiązującą podstawę opracowania szczegółowej specyfikacji technicznej stosowanej jako dokument przetargowy i kontraktowy przy zlecaniu i realizacji robót na drogach krajowych.</w:t>
      </w:r>
    </w:p>
    <w:p w:rsidR="00752DE4" w:rsidRDefault="00752DE4" w:rsidP="00752DE4">
      <w:r>
        <w:tab/>
        <w:t>Zaleca się wykorzystanie OST przy zlecaniu robót na drogach wojewódzkich, powiatowych i gminnych.</w:t>
      </w:r>
    </w:p>
    <w:p w:rsidR="00752DE4" w:rsidRDefault="00752DE4" w:rsidP="00752DE4">
      <w:pPr>
        <w:pStyle w:val="Nagwek2"/>
      </w:pPr>
      <w:r>
        <w:lastRenderedPageBreak/>
        <w:t>1.3. Zakres robót objętych OST</w:t>
      </w:r>
    </w:p>
    <w:p w:rsidR="00752DE4" w:rsidRDefault="00752DE4" w:rsidP="00752DE4">
      <w: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752DE4" w:rsidRDefault="00752DE4" w:rsidP="00752DE4">
      <w:pPr>
        <w:pStyle w:val="Nagwek2"/>
      </w:pPr>
      <w:r>
        <w:t>1.4. Określenia podstawowe</w:t>
      </w:r>
    </w:p>
    <w:p w:rsidR="00752DE4" w:rsidRDefault="00752DE4" w:rsidP="00752DE4">
      <w:pPr>
        <w:pStyle w:val="tekstost"/>
        <w:spacing w:after="60"/>
      </w:pPr>
      <w:r>
        <w:tab/>
        <w:t>Użyte w OST wymienione poniżej określenia należy rozumieć w każdym przypadku następująco:</w:t>
      </w:r>
    </w:p>
    <w:p w:rsidR="00752DE4" w:rsidRDefault="00752DE4" w:rsidP="00752DE4">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752DE4" w:rsidRDefault="00752DE4" w:rsidP="00752DE4">
      <w:pPr>
        <w:pStyle w:val="tekstost"/>
        <w:tabs>
          <w:tab w:val="left" w:pos="567"/>
        </w:tabs>
        <w:spacing w:before="60" w:after="60"/>
      </w:pPr>
      <w:r>
        <w:rPr>
          <w:b/>
        </w:rPr>
        <w:t>1.4.2</w:t>
      </w:r>
      <w:r>
        <w:t>.</w:t>
      </w:r>
      <w:r>
        <w:tab/>
        <w:t>Chodnik - wyznaczony pas terenu przy jezdni lub odsunięty od jezdni, przeznaczony do ruchu pieszych.</w:t>
      </w:r>
    </w:p>
    <w:p w:rsidR="00752DE4" w:rsidRDefault="00752DE4" w:rsidP="00752DE4">
      <w:pPr>
        <w:pStyle w:val="tekstost"/>
        <w:tabs>
          <w:tab w:val="left" w:pos="567"/>
        </w:tabs>
        <w:spacing w:before="60" w:after="60"/>
      </w:pPr>
      <w:r>
        <w:rPr>
          <w:b/>
        </w:rPr>
        <w:t>1.4.3.</w:t>
      </w:r>
      <w:r>
        <w:tab/>
        <w:t>Długość mostu - odległość między zewnętrznymi krawędziami pomostu, a w przypadku mostów łukowych z nadsypką - odległość w świetle podstaw sklepienia mierzona w osi jezdni drogowej.</w:t>
      </w:r>
    </w:p>
    <w:p w:rsidR="00752DE4" w:rsidRDefault="00752DE4" w:rsidP="00752DE4">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752DE4" w:rsidRDefault="00752DE4" w:rsidP="00752DE4">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752DE4" w:rsidRDefault="00752DE4" w:rsidP="00752DE4">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r w:rsidR="002D0D6C">
        <w:t>e</w:t>
      </w:r>
    </w:p>
    <w:p w:rsidR="00752DE4" w:rsidRDefault="00752DE4" w:rsidP="00752DE4">
      <w:pPr>
        <w:pStyle w:val="tekstost"/>
        <w:tabs>
          <w:tab w:val="left" w:pos="624"/>
        </w:tabs>
        <w:spacing w:before="60" w:after="60"/>
      </w:pPr>
      <w:r>
        <w:rPr>
          <w:b/>
        </w:rPr>
        <w:t>1.4.7.</w:t>
      </w:r>
      <w:r>
        <w:tab/>
        <w:t>Estakada - obiekt zbudowany nad przeszkodą terenową dla zapewnienia komunikacji drogowej i ruchu pieszego.</w:t>
      </w:r>
    </w:p>
    <w:p w:rsidR="00752DE4" w:rsidRDefault="00752DE4" w:rsidP="00752DE4">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752DE4" w:rsidRDefault="00752DE4" w:rsidP="00752DE4">
      <w:pPr>
        <w:pStyle w:val="tekstost"/>
        <w:tabs>
          <w:tab w:val="left" w:pos="624"/>
        </w:tabs>
        <w:spacing w:before="60" w:after="60"/>
      </w:pPr>
      <w:r>
        <w:rPr>
          <w:b/>
        </w:rPr>
        <w:t>1.4.9.</w:t>
      </w:r>
      <w:r>
        <w:tab/>
        <w:t>Jezdnia - część korony drogi przeznaczona do ruchu pojazdów.</w:t>
      </w:r>
    </w:p>
    <w:p w:rsidR="00752DE4" w:rsidRDefault="00752DE4" w:rsidP="00752DE4">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752DE4" w:rsidRDefault="00752DE4" w:rsidP="00752DE4">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752DE4" w:rsidRDefault="00752DE4" w:rsidP="00752DE4">
      <w:pPr>
        <w:pStyle w:val="tekstost"/>
        <w:tabs>
          <w:tab w:val="left" w:pos="624"/>
        </w:tabs>
        <w:spacing w:before="60" w:after="60"/>
      </w:pPr>
      <w:r>
        <w:rPr>
          <w:b/>
        </w:rPr>
        <w:t>1.4.12.</w:t>
      </w:r>
      <w:r>
        <w:tab/>
        <w:t>Konstrukcja nawierzchni - układ warstw nawierzchni wraz ze sposobem ich połączenia.</w:t>
      </w:r>
    </w:p>
    <w:p w:rsidR="00752DE4" w:rsidRDefault="00752DE4" w:rsidP="00752DE4">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752DE4" w:rsidRDefault="00752DE4" w:rsidP="00752DE4">
      <w:pPr>
        <w:pStyle w:val="tekstost"/>
        <w:tabs>
          <w:tab w:val="left" w:pos="624"/>
        </w:tabs>
        <w:spacing w:before="60" w:after="60"/>
      </w:pPr>
      <w:r>
        <w:rPr>
          <w:b/>
        </w:rPr>
        <w:t>1.4.14.</w:t>
      </w:r>
      <w:r>
        <w:tab/>
        <w:t>Korpus drogowy - nasyp lub ta część wykopu, która jest ograniczona koroną drogi i skarpami rowów.</w:t>
      </w:r>
    </w:p>
    <w:p w:rsidR="00752DE4" w:rsidRDefault="00752DE4" w:rsidP="00752DE4">
      <w:pPr>
        <w:pStyle w:val="tekstost"/>
        <w:tabs>
          <w:tab w:val="left" w:pos="624"/>
        </w:tabs>
        <w:spacing w:before="60" w:after="60"/>
      </w:pPr>
      <w:r>
        <w:rPr>
          <w:b/>
        </w:rPr>
        <w:t>1.4.15.</w:t>
      </w:r>
      <w:r>
        <w:tab/>
        <w:t>Koryto - element uformowany w korpusie drogowym w celu ułożenia w nim konstrukcji nawierzchni.</w:t>
      </w:r>
    </w:p>
    <w:p w:rsidR="00752DE4" w:rsidRDefault="00752DE4" w:rsidP="00752DE4">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752DE4" w:rsidRDefault="00752DE4" w:rsidP="00752DE4">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752DE4" w:rsidRDefault="00752DE4" w:rsidP="00752DE4">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Inżyniera/Kierownika projektu.</w:t>
      </w:r>
    </w:p>
    <w:p w:rsidR="00752DE4" w:rsidRDefault="00752DE4" w:rsidP="00752DE4">
      <w:pPr>
        <w:pStyle w:val="tekstost"/>
        <w:tabs>
          <w:tab w:val="left" w:pos="624"/>
        </w:tabs>
        <w:spacing w:before="60" w:after="60"/>
      </w:pPr>
      <w:r>
        <w:rPr>
          <w:b/>
        </w:rPr>
        <w:t>1.4.19.</w:t>
      </w:r>
      <w:r>
        <w:tab/>
        <w:t>Most - obiekt zbudowany nad przeszkodą wodną dla zapewnienia komunikacji drogowej i ruchu pieszego.</w:t>
      </w:r>
    </w:p>
    <w:p w:rsidR="00752DE4" w:rsidRDefault="00752DE4" w:rsidP="00752DE4">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752DE4" w:rsidRDefault="00752DE4" w:rsidP="00B4292E">
      <w:pPr>
        <w:numPr>
          <w:ilvl w:val="0"/>
          <w:numId w:val="36"/>
        </w:numPr>
        <w:overflowPunct w:val="0"/>
        <w:autoSpaceDE w:val="0"/>
        <w:autoSpaceDN w:val="0"/>
        <w:adjustRightInd w:val="0"/>
        <w:spacing w:after="0" w:line="240" w:lineRule="auto"/>
        <w:jc w:val="both"/>
      </w:pPr>
      <w:r>
        <w:t>Warstwa ścieralna - górna warstwa nawierzchni poddana bezpośrednio oddziaływaniu ruchu i czynników atmosferycznych.</w:t>
      </w:r>
    </w:p>
    <w:p w:rsidR="00752DE4" w:rsidRDefault="00752DE4" w:rsidP="00B4292E">
      <w:pPr>
        <w:numPr>
          <w:ilvl w:val="0"/>
          <w:numId w:val="36"/>
        </w:numPr>
        <w:overflowPunct w:val="0"/>
        <w:autoSpaceDE w:val="0"/>
        <w:autoSpaceDN w:val="0"/>
        <w:adjustRightInd w:val="0"/>
        <w:spacing w:after="0" w:line="240" w:lineRule="auto"/>
        <w:jc w:val="both"/>
      </w:pPr>
      <w:r>
        <w:lastRenderedPageBreak/>
        <w:t>Warstwa wiążąca - warstwa znajdująca się między warstwą ścieralną a podbudową, zapewniająca lepsze rozłożenie naprężeń w nawierzchni i przekazywanie ich na podbudowę.</w:t>
      </w:r>
    </w:p>
    <w:p w:rsidR="00752DE4" w:rsidRDefault="00752DE4" w:rsidP="00B4292E">
      <w:pPr>
        <w:numPr>
          <w:ilvl w:val="0"/>
          <w:numId w:val="36"/>
        </w:numPr>
        <w:overflowPunct w:val="0"/>
        <w:autoSpaceDE w:val="0"/>
        <w:autoSpaceDN w:val="0"/>
        <w:adjustRightInd w:val="0"/>
        <w:spacing w:after="0" w:line="240" w:lineRule="auto"/>
        <w:jc w:val="both"/>
      </w:pPr>
      <w:r>
        <w:t>Warstwa wyrównawcza - warstwa służąca do wyrównania nierówności podbudowy lub profilu istniejącej nawierzchni.</w:t>
      </w:r>
    </w:p>
    <w:p w:rsidR="00752DE4" w:rsidRDefault="00752DE4" w:rsidP="00B4292E">
      <w:pPr>
        <w:numPr>
          <w:ilvl w:val="0"/>
          <w:numId w:val="36"/>
        </w:numPr>
        <w:overflowPunct w:val="0"/>
        <w:autoSpaceDE w:val="0"/>
        <w:autoSpaceDN w:val="0"/>
        <w:adjustRightInd w:val="0"/>
        <w:spacing w:after="0" w:line="240" w:lineRule="auto"/>
        <w:jc w:val="both"/>
      </w:pPr>
      <w:r>
        <w:t>Podbudowa - dolna część nawierzchni służąca do przenoszenia obciążeń od ruchu na podłoże. Podbudowa może składać się z podbudowy zasadniczej i podbudowy pomocniczej.</w:t>
      </w:r>
    </w:p>
    <w:p w:rsidR="00752DE4" w:rsidRDefault="00752DE4" w:rsidP="00B4292E">
      <w:pPr>
        <w:numPr>
          <w:ilvl w:val="0"/>
          <w:numId w:val="36"/>
        </w:numPr>
        <w:overflowPunct w:val="0"/>
        <w:autoSpaceDE w:val="0"/>
        <w:autoSpaceDN w:val="0"/>
        <w:adjustRightInd w:val="0"/>
        <w:spacing w:after="0" w:line="240" w:lineRule="auto"/>
        <w:jc w:val="both"/>
      </w:pPr>
      <w:r>
        <w:t>Podbudowa zasadnicza - górna część podbudowy spełniająca funkcje nośne w konstrukcji nawierzchni. Może ona składać się z jednej lub dwóch warstw.</w:t>
      </w:r>
    </w:p>
    <w:p w:rsidR="00752DE4" w:rsidRDefault="00752DE4" w:rsidP="00B4292E">
      <w:pPr>
        <w:numPr>
          <w:ilvl w:val="0"/>
          <w:numId w:val="36"/>
        </w:numPr>
        <w:overflowPunct w:val="0"/>
        <w:autoSpaceDE w:val="0"/>
        <w:autoSpaceDN w:val="0"/>
        <w:adjustRightInd w:val="0"/>
        <w:spacing w:after="0" w:line="240" w:lineRule="auto"/>
        <w:jc w:val="both"/>
      </w:pPr>
      <w:r>
        <w:t>Podbudowa pomocnicza - dolna część podbudowy spełniająca, obok funkcji nośnych, funkcje zabezpieczenia nawierzchni przed działaniem wody, mrozu i przenikaniem cząstek podłoża. Może zawierać warstwę mrozoochronną, odsączającą lub odcinającą.</w:t>
      </w:r>
    </w:p>
    <w:p w:rsidR="00752DE4" w:rsidRDefault="00752DE4" w:rsidP="00B4292E">
      <w:pPr>
        <w:numPr>
          <w:ilvl w:val="0"/>
          <w:numId w:val="36"/>
        </w:numPr>
        <w:overflowPunct w:val="0"/>
        <w:autoSpaceDE w:val="0"/>
        <w:autoSpaceDN w:val="0"/>
        <w:adjustRightInd w:val="0"/>
        <w:spacing w:after="0" w:line="240" w:lineRule="auto"/>
        <w:jc w:val="both"/>
      </w:pPr>
      <w:r>
        <w:t>Warstwa mrozoochronna - warstwa, której głównym zadaniem jest ochrona nawierzchni przed skutkami działania mrozu.</w:t>
      </w:r>
    </w:p>
    <w:p w:rsidR="00752DE4" w:rsidRDefault="00752DE4" w:rsidP="00B4292E">
      <w:pPr>
        <w:numPr>
          <w:ilvl w:val="0"/>
          <w:numId w:val="36"/>
        </w:numPr>
        <w:overflowPunct w:val="0"/>
        <w:autoSpaceDE w:val="0"/>
        <w:autoSpaceDN w:val="0"/>
        <w:adjustRightInd w:val="0"/>
        <w:spacing w:after="0" w:line="240" w:lineRule="auto"/>
        <w:jc w:val="both"/>
      </w:pPr>
      <w:r>
        <w:t>Warstwa odcinająca - warstwa stosowana w celu uniemożliwienia przenikania cząstek drobnych gruntu do warstwy nawierzchni leżącej powyżej.</w:t>
      </w:r>
    </w:p>
    <w:p w:rsidR="00752DE4" w:rsidRDefault="00752DE4" w:rsidP="00B4292E">
      <w:pPr>
        <w:numPr>
          <w:ilvl w:val="0"/>
          <w:numId w:val="36"/>
        </w:numPr>
        <w:overflowPunct w:val="0"/>
        <w:autoSpaceDE w:val="0"/>
        <w:autoSpaceDN w:val="0"/>
        <w:adjustRightInd w:val="0"/>
        <w:spacing w:after="60" w:line="240" w:lineRule="auto"/>
        <w:ind w:left="288" w:hanging="288"/>
        <w:jc w:val="both"/>
      </w:pPr>
      <w:r>
        <w:t>Warstwa odsączająca - warstwa służąca do odprowadzenia wody przedostającej się do nawierzchni.</w:t>
      </w:r>
    </w:p>
    <w:p w:rsidR="00752DE4" w:rsidRDefault="00752DE4" w:rsidP="00752DE4">
      <w:pPr>
        <w:pStyle w:val="tekstost"/>
        <w:tabs>
          <w:tab w:val="left" w:pos="624"/>
        </w:tabs>
        <w:spacing w:before="60" w:after="60"/>
      </w:pPr>
      <w:r>
        <w:rPr>
          <w:b/>
        </w:rPr>
        <w:t>1.4.21.</w:t>
      </w:r>
      <w:r>
        <w:tab/>
        <w:t>Niweleta - wysokościowe i geometryczne rozwinięcie na płaszczyźnie pionowego przekroju w osi drogi lub obiektu mostowego.</w:t>
      </w:r>
    </w:p>
    <w:p w:rsidR="00752DE4" w:rsidRDefault="00752DE4" w:rsidP="00752DE4">
      <w:pPr>
        <w:pStyle w:val="tekstost"/>
        <w:tabs>
          <w:tab w:val="left" w:pos="624"/>
        </w:tabs>
        <w:spacing w:before="60" w:after="60"/>
      </w:pPr>
      <w:r>
        <w:rPr>
          <w:b/>
        </w:rPr>
        <w:t>1.4.22.</w:t>
      </w:r>
      <w:r>
        <w:tab/>
        <w:t>Obiekt mostowy - most, wiadukt, estakada, tunel, kładka dla pieszych i przepust.</w:t>
      </w:r>
    </w:p>
    <w:p w:rsidR="00752DE4" w:rsidRDefault="00752DE4" w:rsidP="00752DE4">
      <w:pPr>
        <w:pStyle w:val="tekstost"/>
        <w:tabs>
          <w:tab w:val="left" w:pos="624"/>
        </w:tabs>
        <w:spacing w:before="60" w:after="60"/>
      </w:pPr>
      <w:r>
        <w:rPr>
          <w:b/>
        </w:rPr>
        <w:t>1.4.23.</w:t>
      </w:r>
      <w:r>
        <w:tab/>
        <w:t>Objazd tymczasowy - droga specjalnie przygotowana i odpowiednio utrzymana do przeprowadzenia ruchu publicznego na okres budowy.</w:t>
      </w:r>
    </w:p>
    <w:p w:rsidR="00752DE4" w:rsidRDefault="00752DE4" w:rsidP="00752DE4">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752DE4" w:rsidRDefault="00752DE4" w:rsidP="00752DE4">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52DE4" w:rsidRDefault="00752DE4" w:rsidP="00752DE4">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752DE4" w:rsidRDefault="00752DE4" w:rsidP="00752DE4">
      <w:pPr>
        <w:pStyle w:val="tekstost"/>
        <w:tabs>
          <w:tab w:val="left" w:pos="624"/>
        </w:tabs>
        <w:spacing w:before="60" w:after="60"/>
      </w:pPr>
      <w:r>
        <w:rPr>
          <w:b/>
        </w:rPr>
        <w:t>1.4.27.</w:t>
      </w:r>
      <w:r>
        <w:tab/>
        <w:t>Podłoże nawierzchni - grunt rodzimy lub nasypowy, leżący pod nawierzchnią do głębokości przemarzania.</w:t>
      </w:r>
    </w:p>
    <w:p w:rsidR="00752DE4" w:rsidRDefault="00752DE4" w:rsidP="00752DE4">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752DE4" w:rsidRDefault="00752DE4" w:rsidP="00752DE4">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752DE4" w:rsidRDefault="00752DE4" w:rsidP="00752DE4">
      <w:pPr>
        <w:pStyle w:val="tekstost"/>
        <w:tabs>
          <w:tab w:val="left" w:pos="624"/>
        </w:tabs>
        <w:spacing w:before="60" w:after="60"/>
      </w:pPr>
      <w:r>
        <w:rPr>
          <w:b/>
        </w:rPr>
        <w:t>1.4.30.</w:t>
      </w:r>
      <w:r>
        <w:tab/>
        <w:t>Projektant - uprawniona osoba prawna lub fizyczna będąca autorem dokumentacji projektowej.</w:t>
      </w:r>
    </w:p>
    <w:p w:rsidR="00752DE4" w:rsidRDefault="00752DE4" w:rsidP="00752DE4">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752DE4" w:rsidRDefault="00752DE4" w:rsidP="00752DE4">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752DE4" w:rsidRDefault="00752DE4" w:rsidP="00752DE4">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752DE4" w:rsidRDefault="00752DE4" w:rsidP="00752DE4">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752DE4" w:rsidRDefault="00752DE4" w:rsidP="00752DE4">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752DE4" w:rsidRDefault="00752DE4" w:rsidP="00752DE4">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752DE4" w:rsidRDefault="00752DE4" w:rsidP="00752DE4">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752DE4" w:rsidRDefault="00752DE4" w:rsidP="00752DE4">
      <w:pPr>
        <w:pStyle w:val="tekstost"/>
        <w:tabs>
          <w:tab w:val="left" w:pos="624"/>
        </w:tabs>
        <w:spacing w:before="60" w:after="60"/>
      </w:pPr>
      <w:r>
        <w:rPr>
          <w:b/>
        </w:rPr>
        <w:lastRenderedPageBreak/>
        <w:t>1.4.38.</w:t>
      </w:r>
      <w:r>
        <w:tab/>
        <w:t>Rozpiętość teoretyczna - odległość między punktami podparcia (łożyskami), przęsła mostowego.</w:t>
      </w:r>
    </w:p>
    <w:p w:rsidR="00752DE4" w:rsidRDefault="00752DE4" w:rsidP="00752DE4">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752DE4" w:rsidRDefault="00752DE4" w:rsidP="00752DE4">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752DE4" w:rsidRDefault="00752DE4" w:rsidP="00752DE4">
      <w:pPr>
        <w:pStyle w:val="tekstost"/>
        <w:tabs>
          <w:tab w:val="left" w:pos="624"/>
        </w:tabs>
        <w:spacing w:before="60" w:after="60"/>
      </w:pPr>
      <w:r>
        <w:rPr>
          <w:b/>
        </w:rPr>
        <w:t>1.4.41.</w:t>
      </w:r>
      <w:r>
        <w:tab/>
        <w:t>Ślepy kosztorys - wykaz robót z podaniem ich ilości (przedmiarem) w kolejności technologicznej ich wykonania.</w:t>
      </w:r>
    </w:p>
    <w:p w:rsidR="00752DE4" w:rsidRDefault="00752DE4" w:rsidP="00752DE4">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752DE4" w:rsidRDefault="00752DE4" w:rsidP="00752DE4">
      <w:pPr>
        <w:pStyle w:val="tekstost"/>
        <w:tabs>
          <w:tab w:val="left" w:pos="624"/>
        </w:tabs>
        <w:spacing w:before="60" w:after="60"/>
      </w:pPr>
      <w:r>
        <w:rPr>
          <w:b/>
        </w:rPr>
        <w:t>1.4.43.</w:t>
      </w:r>
      <w:r>
        <w:tab/>
        <w:t>Tunel - obiekt zagłębiony poniżej poziomu terenu dla zapewnienia komunikacji drogowej i ruchu pieszego.</w:t>
      </w:r>
    </w:p>
    <w:p w:rsidR="00752DE4" w:rsidRDefault="00752DE4" w:rsidP="00752DE4">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752DE4" w:rsidRDefault="00752DE4" w:rsidP="00752DE4">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52DE4" w:rsidRDefault="00752DE4" w:rsidP="00752DE4">
      <w:pPr>
        <w:pStyle w:val="Nagwek2"/>
      </w:pPr>
      <w:r>
        <w:t>1.5. Ogólne wymagania dotyczące robót</w:t>
      </w:r>
    </w:p>
    <w:p w:rsidR="00752DE4" w:rsidRDefault="00752DE4" w:rsidP="00752DE4">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752DE4" w:rsidRDefault="00752DE4" w:rsidP="00752DE4">
      <w:pPr>
        <w:pStyle w:val="Nagwek3"/>
      </w:pPr>
      <w:r>
        <w:rPr>
          <w:b/>
        </w:rPr>
        <w:t>1.5.1.</w:t>
      </w:r>
      <w:r>
        <w:t xml:space="preserve"> Przekazanie terenu budowy</w:t>
      </w:r>
    </w:p>
    <w:p w:rsidR="00752DE4" w:rsidRDefault="00752DE4" w:rsidP="00752DE4">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752DE4" w:rsidRDefault="00752DE4" w:rsidP="00752DE4">
      <w:pPr>
        <w:spacing w:after="60"/>
      </w:pPr>
      <w:r>
        <w:tab/>
        <w:t>Na Wykonawcy spoczywa odpowiedzialność za ochronę przekazanych mu punktów pomiarowych do chwili odbioru ostatecznego robót. Uszkodzone lub zniszczone znaki geodezyjne Wykonawca odtworzy i utrwali na własny koszt.</w:t>
      </w:r>
    </w:p>
    <w:p w:rsidR="00752DE4" w:rsidRDefault="00752DE4" w:rsidP="00752DE4">
      <w:pPr>
        <w:pStyle w:val="Nagwek3"/>
      </w:pPr>
      <w:r>
        <w:rPr>
          <w:b/>
        </w:rPr>
        <w:t>1.5.2.</w:t>
      </w:r>
      <w:r>
        <w:t xml:space="preserve"> Dokumentacja projektowa</w:t>
      </w:r>
    </w:p>
    <w:p w:rsidR="00752DE4" w:rsidRDefault="00752DE4" w:rsidP="00752DE4">
      <w:pPr>
        <w:spacing w:before="60"/>
      </w:pPr>
      <w:r>
        <w:tab/>
        <w:t>Dokumentacja projektowa będzie zawierać rysunki, obliczenia i dokumenty, zgodne z wykazem podanym w szczegółowych warunkach umowy, uwzględniającym podział na dokumentację projektową:</w:t>
      </w:r>
    </w:p>
    <w:p w:rsidR="00752DE4" w:rsidRDefault="00752DE4" w:rsidP="00752DE4">
      <w:pPr>
        <w:numPr>
          <w:ilvl w:val="0"/>
          <w:numId w:val="5"/>
        </w:numPr>
        <w:overflowPunct w:val="0"/>
        <w:autoSpaceDE w:val="0"/>
        <w:autoSpaceDN w:val="0"/>
        <w:adjustRightInd w:val="0"/>
        <w:spacing w:after="0" w:line="240" w:lineRule="auto"/>
        <w:jc w:val="both"/>
      </w:pPr>
      <w:r>
        <w:t>Zamawiającego; wykaz pozycji, które stanowią przetargową dokumentację projektową oraz projektową dokumentację wykonawczą (techniczną) i zostaną przekazane Wykonawcy,</w:t>
      </w:r>
    </w:p>
    <w:p w:rsidR="00752DE4" w:rsidRDefault="00752DE4" w:rsidP="00752DE4">
      <w:pPr>
        <w:numPr>
          <w:ilvl w:val="0"/>
          <w:numId w:val="5"/>
        </w:numPr>
        <w:overflowPunct w:val="0"/>
        <w:autoSpaceDE w:val="0"/>
        <w:autoSpaceDN w:val="0"/>
        <w:adjustRightInd w:val="0"/>
        <w:spacing w:after="60" w:line="240" w:lineRule="auto"/>
        <w:ind w:left="288" w:hanging="288"/>
        <w:jc w:val="both"/>
      </w:pPr>
      <w:r>
        <w:t>Wykonawcy; wykaz zawierający spis dokumentacji projektowej, którą Wykonawca opracuje w ramach ceny kontraktowej.</w:t>
      </w:r>
    </w:p>
    <w:p w:rsidR="00752DE4" w:rsidRDefault="00752DE4" w:rsidP="00752DE4">
      <w:pPr>
        <w:pStyle w:val="Nagwek3"/>
      </w:pPr>
      <w:r>
        <w:rPr>
          <w:b/>
        </w:rPr>
        <w:t>1.5.3.</w:t>
      </w:r>
      <w:r>
        <w:t xml:space="preserve"> Zgodność robót z dokumentacją projektową i SST</w:t>
      </w:r>
    </w:p>
    <w:p w:rsidR="00752DE4" w:rsidRDefault="00752DE4" w:rsidP="00752DE4">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752DE4" w:rsidRDefault="00752DE4" w:rsidP="00752DE4">
      <w:r>
        <w:tab/>
        <w:t>W przypadku rozbieżności w ustaleniach poszczególnych dokumentów obowiązuje kolejność ich ważności wymieniona w „Kontraktowych warunkach ogólnych” („Ogólnych warunkach umowy”).</w:t>
      </w:r>
    </w:p>
    <w:p w:rsidR="00752DE4" w:rsidRDefault="00752DE4" w:rsidP="00752DE4">
      <w:r>
        <w:tab/>
        <w:t>Wykonawca nie może wykorzystywać błędów lub opuszczeń w dokumentach kontraktowych, a o ich wykryciu winien natychmiast powiadomić Inżyniera/Kierownika projektu, który podejmie decyzję o wprowadzeniu odpowiednich zmian i poprawek.</w:t>
      </w:r>
    </w:p>
    <w:p w:rsidR="00752DE4" w:rsidRDefault="00752DE4" w:rsidP="00752DE4">
      <w:r>
        <w:lastRenderedPageBreak/>
        <w:tab/>
        <w:t>W przypadku rozbieżności, wymiary podane na piśmie są ważniejsze od wymiarów określonych na podstawie odczytu ze skali rysunku.</w:t>
      </w:r>
    </w:p>
    <w:p w:rsidR="00752DE4" w:rsidRDefault="00752DE4" w:rsidP="00752DE4">
      <w:r>
        <w:tab/>
        <w:t>Wszystkie wykonane roboty i dostarczone materiały będą zgodne z dokumentacją projektową i SST.</w:t>
      </w:r>
    </w:p>
    <w:p w:rsidR="00752DE4" w:rsidRDefault="00752DE4" w:rsidP="00752DE4">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52DE4" w:rsidRDefault="00752DE4" w:rsidP="00752DE4">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752DE4" w:rsidRDefault="00752DE4" w:rsidP="00752DE4">
      <w:pPr>
        <w:pStyle w:val="Nagwek3"/>
      </w:pPr>
      <w:r>
        <w:rPr>
          <w:b/>
        </w:rPr>
        <w:t>1.5.4.</w:t>
      </w:r>
      <w:r>
        <w:t xml:space="preserve"> Zabezpieczenie terenu budowy</w:t>
      </w:r>
    </w:p>
    <w:p w:rsidR="00752DE4" w:rsidRDefault="00752DE4" w:rsidP="00B4292E">
      <w:pPr>
        <w:keepNext/>
        <w:numPr>
          <w:ilvl w:val="0"/>
          <w:numId w:val="37"/>
        </w:numPr>
        <w:overflowPunct w:val="0"/>
        <w:autoSpaceDE w:val="0"/>
        <w:autoSpaceDN w:val="0"/>
        <w:adjustRightInd w:val="0"/>
        <w:spacing w:before="60" w:after="60" w:line="240" w:lineRule="auto"/>
        <w:ind w:left="288" w:hanging="288"/>
        <w:jc w:val="both"/>
      </w:pPr>
      <w:r>
        <w:t>Roboty modernizacyjne/ przebudowa i remontowe („pod   ruchem”)</w:t>
      </w:r>
    </w:p>
    <w:p w:rsidR="00752DE4" w:rsidRDefault="00752DE4" w:rsidP="00752DE4">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52DE4" w:rsidRDefault="00752DE4" w:rsidP="00752DE4">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752DE4" w:rsidRDefault="00752DE4" w:rsidP="00752DE4">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752DE4" w:rsidRDefault="00752DE4" w:rsidP="00752DE4">
      <w:r>
        <w:tab/>
        <w:t>Wykonawca zapewni stałe warunki widoczności w dzień i w nocy tych zapór i znaków, dla których jest to nieodzowne ze względów bezpieczeństwa.</w:t>
      </w:r>
    </w:p>
    <w:p w:rsidR="00752DE4" w:rsidRDefault="00752DE4" w:rsidP="00752DE4">
      <w:r>
        <w:tab/>
        <w:t>Wszystkie znaki, zapory i inne urządzenia zabezpieczające będą akceptowane przez Inżyniera/Kierownika projektu.</w:t>
      </w:r>
    </w:p>
    <w:p w:rsidR="00752DE4" w:rsidRDefault="00752DE4" w:rsidP="00752DE4">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752DE4" w:rsidRDefault="00752DE4" w:rsidP="00752DE4">
      <w:r>
        <w:tab/>
        <w:t>Koszt zabezpieczenia terenu budowy nie podlega odrębnej zapłacie i przyjmuje się, że jest włączony w cenę kontraktową.</w:t>
      </w:r>
    </w:p>
    <w:p w:rsidR="00752DE4" w:rsidRDefault="00752DE4" w:rsidP="00B4292E">
      <w:pPr>
        <w:numPr>
          <w:ilvl w:val="0"/>
          <w:numId w:val="38"/>
        </w:numPr>
        <w:overflowPunct w:val="0"/>
        <w:autoSpaceDE w:val="0"/>
        <w:autoSpaceDN w:val="0"/>
        <w:adjustRightInd w:val="0"/>
        <w:spacing w:before="60" w:after="60" w:line="240" w:lineRule="auto"/>
        <w:ind w:left="288" w:hanging="288"/>
        <w:jc w:val="both"/>
      </w:pPr>
      <w:r>
        <w:t>Roboty o charakterze inwestycyjnym</w:t>
      </w:r>
    </w:p>
    <w:p w:rsidR="00752DE4" w:rsidRDefault="00752DE4" w:rsidP="00752DE4">
      <w:r>
        <w:tab/>
        <w:t>Wykonawca jest zobowiązany do zabezpieczenia terenu budowy w okresie trwania realizacji kontraktu aż do zakończenia i odbioru ostatecznego robót.</w:t>
      </w:r>
    </w:p>
    <w:p w:rsidR="00752DE4" w:rsidRDefault="00752DE4" w:rsidP="00752DE4">
      <w:r>
        <w:lastRenderedPageBreak/>
        <w:tab/>
        <w:t>Wykonawca dostarczy, zainstaluje i będzie utrzymywać tymczasowe urządzenia zabezpieczające, w tym: ogrodzenia, poręcze, oświetlenie, sygnały i znaki ostrzegawcze oraz  wszelkie inne środki niezbędne do ochrony robót, wygody społeczności i innych.</w:t>
      </w:r>
    </w:p>
    <w:p w:rsidR="00752DE4" w:rsidRDefault="00752DE4" w:rsidP="00752DE4">
      <w:r>
        <w:tab/>
        <w:t>W miejscach przylegających do dróg otwartych dla ruchu, Wykonawca ogrodzi lub wyraźnie oznakuje teren budowy, w sposób uzgodniony z Inżynierem/Kierownikiem projektu.</w:t>
      </w:r>
    </w:p>
    <w:p w:rsidR="00752DE4" w:rsidRDefault="00752DE4" w:rsidP="00752DE4">
      <w:r>
        <w:tab/>
        <w:t>Wjazdy i wyjazdy z terenu budowy przeznaczone dla pojazdów i maszyn pracujących przy realizacji robót, Wykonawca odpowiednio oznakuje w sposób uzgodniony z Inżynierem/Kierownikiem projektu.</w:t>
      </w:r>
    </w:p>
    <w:p w:rsidR="00752DE4" w:rsidRDefault="00752DE4" w:rsidP="00752DE4">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752DE4" w:rsidRDefault="00752DE4" w:rsidP="00752DE4">
      <w:pPr>
        <w:spacing w:after="60"/>
      </w:pPr>
      <w:r>
        <w:tab/>
        <w:t>Koszt zabezpieczenia terenu budowy nie podlega odrębnej zapłacie i przyjmuje się, że jest włączony w cenę kontraktową.</w:t>
      </w:r>
    </w:p>
    <w:p w:rsidR="00752DE4" w:rsidRDefault="00752DE4" w:rsidP="00752DE4">
      <w:pPr>
        <w:pStyle w:val="Nagwek3"/>
      </w:pPr>
      <w:r>
        <w:rPr>
          <w:b/>
        </w:rPr>
        <w:t>1.5.5.</w:t>
      </w:r>
      <w:r>
        <w:t xml:space="preserve"> Ochrona środowiska w czasie wykonywania robót</w:t>
      </w:r>
    </w:p>
    <w:p w:rsidR="00752DE4" w:rsidRDefault="00752DE4" w:rsidP="00752DE4">
      <w:pPr>
        <w:spacing w:before="60"/>
      </w:pPr>
      <w:r>
        <w:tab/>
        <w:t>Wykonawca ma obowiązek znać i stosować w czasie prowadzenia robót wszelkie przepisy dotyczące ochrony środowiska naturalnego.</w:t>
      </w:r>
    </w:p>
    <w:p w:rsidR="00752DE4" w:rsidRDefault="00752DE4" w:rsidP="00752DE4">
      <w:r>
        <w:tab/>
        <w:t>W okresie trwania budowy i wykańczania robót Wykonawca będzie:</w:t>
      </w:r>
    </w:p>
    <w:p w:rsidR="00752DE4" w:rsidRDefault="00752DE4" w:rsidP="00B4292E">
      <w:pPr>
        <w:numPr>
          <w:ilvl w:val="0"/>
          <w:numId w:val="39"/>
        </w:numPr>
        <w:overflowPunct w:val="0"/>
        <w:autoSpaceDE w:val="0"/>
        <w:autoSpaceDN w:val="0"/>
        <w:adjustRightInd w:val="0"/>
        <w:spacing w:after="0" w:line="240" w:lineRule="auto"/>
        <w:jc w:val="both"/>
      </w:pPr>
      <w:r>
        <w:t>utrzymywać teren budowy i wykopy w stanie bez wody stojącej,</w:t>
      </w:r>
    </w:p>
    <w:p w:rsidR="00752DE4" w:rsidRDefault="00752DE4" w:rsidP="00B4292E">
      <w:pPr>
        <w:numPr>
          <w:ilvl w:val="0"/>
          <w:numId w:val="39"/>
        </w:numPr>
        <w:overflowPunct w:val="0"/>
        <w:autoSpaceDE w:val="0"/>
        <w:autoSpaceDN w:val="0"/>
        <w:adjustRightInd w:val="0"/>
        <w:spacing w:after="0" w:line="240" w:lineRule="auto"/>
        <w:jc w:val="both"/>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752DE4" w:rsidRDefault="00752DE4" w:rsidP="00752DE4">
      <w:pPr>
        <w:ind w:left="283" w:firstLine="426"/>
      </w:pPr>
      <w:r>
        <w:t>Stosując się do tych wymagań będzie miał szczególny wzgląd na:</w:t>
      </w:r>
    </w:p>
    <w:p w:rsidR="00752DE4" w:rsidRDefault="00752DE4" w:rsidP="00B4292E">
      <w:pPr>
        <w:numPr>
          <w:ilvl w:val="0"/>
          <w:numId w:val="40"/>
        </w:numPr>
        <w:overflowPunct w:val="0"/>
        <w:autoSpaceDE w:val="0"/>
        <w:autoSpaceDN w:val="0"/>
        <w:adjustRightInd w:val="0"/>
        <w:spacing w:after="0" w:line="240" w:lineRule="auto"/>
        <w:jc w:val="both"/>
      </w:pPr>
      <w:r>
        <w:t>lokalizację baz, warsztatów, magazynów, składowisk, ukopów i dróg dojazdowych,</w:t>
      </w:r>
    </w:p>
    <w:p w:rsidR="00752DE4" w:rsidRDefault="00752DE4" w:rsidP="00B4292E">
      <w:pPr>
        <w:numPr>
          <w:ilvl w:val="0"/>
          <w:numId w:val="40"/>
        </w:numPr>
        <w:overflowPunct w:val="0"/>
        <w:autoSpaceDE w:val="0"/>
        <w:autoSpaceDN w:val="0"/>
        <w:adjustRightInd w:val="0"/>
        <w:spacing w:after="0" w:line="240" w:lineRule="auto"/>
        <w:jc w:val="both"/>
      </w:pPr>
      <w:r>
        <w:t>środki ostrożności i zabezpieczenia przed:</w:t>
      </w:r>
    </w:p>
    <w:p w:rsidR="00752DE4" w:rsidRDefault="00752DE4" w:rsidP="00B4292E">
      <w:pPr>
        <w:numPr>
          <w:ilvl w:val="0"/>
          <w:numId w:val="41"/>
        </w:numPr>
        <w:overflowPunct w:val="0"/>
        <w:autoSpaceDE w:val="0"/>
        <w:autoSpaceDN w:val="0"/>
        <w:adjustRightInd w:val="0"/>
        <w:spacing w:after="0" w:line="240" w:lineRule="auto"/>
        <w:jc w:val="both"/>
      </w:pPr>
      <w:r>
        <w:t>zanieczyszczeniem zbiorników i cieków wodnych pyłami lub substancjami toksycznymi,</w:t>
      </w:r>
    </w:p>
    <w:p w:rsidR="00752DE4" w:rsidRDefault="00752DE4" w:rsidP="00B4292E">
      <w:pPr>
        <w:numPr>
          <w:ilvl w:val="0"/>
          <w:numId w:val="41"/>
        </w:numPr>
        <w:overflowPunct w:val="0"/>
        <w:autoSpaceDE w:val="0"/>
        <w:autoSpaceDN w:val="0"/>
        <w:adjustRightInd w:val="0"/>
        <w:spacing w:after="0" w:line="240" w:lineRule="auto"/>
        <w:jc w:val="both"/>
      </w:pPr>
      <w:r>
        <w:t>zanieczyszczeniem powietrza pyłami i gazami,</w:t>
      </w:r>
    </w:p>
    <w:p w:rsidR="00752DE4" w:rsidRDefault="00752DE4" w:rsidP="00B4292E">
      <w:pPr>
        <w:numPr>
          <w:ilvl w:val="0"/>
          <w:numId w:val="41"/>
        </w:numPr>
        <w:overflowPunct w:val="0"/>
        <w:autoSpaceDE w:val="0"/>
        <w:autoSpaceDN w:val="0"/>
        <w:adjustRightInd w:val="0"/>
        <w:spacing w:after="60" w:line="240" w:lineRule="auto"/>
        <w:ind w:left="568" w:hanging="284"/>
        <w:jc w:val="both"/>
      </w:pPr>
      <w:r>
        <w:t>możliwością powstania pożaru.</w:t>
      </w:r>
    </w:p>
    <w:p w:rsidR="00752DE4" w:rsidRDefault="00752DE4" w:rsidP="00752DE4">
      <w:pPr>
        <w:pStyle w:val="Nagwek3"/>
      </w:pPr>
      <w:r>
        <w:rPr>
          <w:b/>
        </w:rPr>
        <w:t>1.5.6.</w:t>
      </w:r>
      <w:r>
        <w:t xml:space="preserve"> Ochrona przeciwpożarowa</w:t>
      </w:r>
    </w:p>
    <w:p w:rsidR="00752DE4" w:rsidRDefault="00752DE4" w:rsidP="00752DE4">
      <w:pPr>
        <w:spacing w:before="60"/>
      </w:pPr>
      <w:r>
        <w:tab/>
        <w:t>Wykonawca będzie przestrzegać przepisy ochrony przeciwpożarowej.</w:t>
      </w:r>
    </w:p>
    <w:p w:rsidR="00752DE4" w:rsidRDefault="00752DE4" w:rsidP="00752DE4">
      <w:r>
        <w:tab/>
        <w:t>Wykonawca będzie utrzymywać, wymagany na podstawie odpowiednich przepisów sprawny sprzęt przeciwpożarowy, na terenie baz produkcyjnych, w pomieszczeniach biurowych, mieszkalnych, magazynach oraz w maszynach i pojazdach.</w:t>
      </w:r>
    </w:p>
    <w:p w:rsidR="00752DE4" w:rsidRDefault="00752DE4" w:rsidP="00752DE4">
      <w:r>
        <w:tab/>
        <w:t>Materiały łatwopalne będą składowane w sposób zgodny z odpowiednimi przepisami i zabezpieczone przed dostępem osób trzecich.</w:t>
      </w:r>
    </w:p>
    <w:p w:rsidR="00752DE4" w:rsidRDefault="00752DE4" w:rsidP="00752DE4">
      <w:pPr>
        <w:spacing w:after="60"/>
      </w:pPr>
      <w:r>
        <w:tab/>
        <w:t>Wykonawca będzie odpowiedzialny za wszelkie straty spowodowane pożarem wywołanym jako rezultat realizacji robót albo przez personel Wykonawcy.</w:t>
      </w:r>
    </w:p>
    <w:p w:rsidR="00752DE4" w:rsidRDefault="00752DE4" w:rsidP="00752DE4">
      <w:pPr>
        <w:pStyle w:val="Nagwek3"/>
      </w:pPr>
      <w:r>
        <w:rPr>
          <w:b/>
        </w:rPr>
        <w:t>1.5.7.</w:t>
      </w:r>
      <w:r>
        <w:t xml:space="preserve"> Materiały szkodliwe dla otoczenia</w:t>
      </w:r>
    </w:p>
    <w:p w:rsidR="00752DE4" w:rsidRDefault="00752DE4" w:rsidP="00752DE4">
      <w:pPr>
        <w:spacing w:before="60"/>
      </w:pPr>
      <w:r>
        <w:tab/>
        <w:t>Materiały, które w sposób trwały są szkodliwe dla otoczenia, nie będą dopuszczone do użycia.</w:t>
      </w:r>
    </w:p>
    <w:p w:rsidR="00752DE4" w:rsidRDefault="00752DE4" w:rsidP="00752DE4">
      <w:r>
        <w:lastRenderedPageBreak/>
        <w:tab/>
        <w:t>Nie dopuszcza się użycia materiałów wywołujących szkodliwe promieniowanie o stężeniu większym od dopuszczalnego, określonego odpowiednimi przepisami.</w:t>
      </w:r>
    </w:p>
    <w:p w:rsidR="00752DE4" w:rsidRDefault="00752DE4" w:rsidP="00752DE4">
      <w:r>
        <w:tab/>
        <w:t>Wszelkie materiały odpadowe użyte do robót będą miały aprobatę techniczną wydaną przez uprawnioną jednostkę, jednoznacznie określającą brak szkodliwego oddziaływania tych materiałów na środowisko.</w:t>
      </w:r>
    </w:p>
    <w:p w:rsidR="00752DE4" w:rsidRDefault="00752DE4" w:rsidP="00752DE4">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52DE4" w:rsidRDefault="00752DE4" w:rsidP="00752DE4">
      <w:pPr>
        <w:spacing w:after="60"/>
      </w:pPr>
      <w:r>
        <w:tab/>
        <w:t>Jeżeli Wykonawca użył materiałów szkodliwych dla otoczenia zgodnie ze specyfikacjami, a ich użycie spowodowało jakiekolwiek zagrożenie środowiska, to konsekwencje tego poniesie Zamawiający.</w:t>
      </w:r>
    </w:p>
    <w:p w:rsidR="00752DE4" w:rsidRDefault="00752DE4" w:rsidP="00752DE4">
      <w:pPr>
        <w:pStyle w:val="Nagwek3"/>
      </w:pPr>
      <w:r>
        <w:rPr>
          <w:b/>
        </w:rPr>
        <w:t>1.5.8.</w:t>
      </w:r>
      <w:r>
        <w:t xml:space="preserve"> Ochrona własności publicznej i prywatnej</w:t>
      </w:r>
    </w:p>
    <w:p w:rsidR="00752DE4" w:rsidRDefault="00752DE4" w:rsidP="00752DE4">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752DE4" w:rsidRDefault="00752DE4" w:rsidP="00752DE4">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752DE4" w:rsidRDefault="00752DE4" w:rsidP="00752DE4">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52DE4" w:rsidRDefault="00752DE4" w:rsidP="00752DE4">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52DE4" w:rsidRDefault="00752DE4" w:rsidP="00752DE4">
      <w:pPr>
        <w:pStyle w:val="Nagwek3"/>
      </w:pPr>
      <w:r>
        <w:rPr>
          <w:b/>
        </w:rPr>
        <w:t>1.5.9.</w:t>
      </w:r>
      <w:r>
        <w:t xml:space="preserve"> Ograniczenie obciążeń osi pojazdów</w:t>
      </w:r>
    </w:p>
    <w:p w:rsidR="00752DE4" w:rsidRDefault="00752DE4" w:rsidP="00752DE4">
      <w:pPr>
        <w:spacing w:before="60" w:after="60"/>
      </w:pPr>
      <w: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t>
      </w:r>
      <w:r>
        <w:lastRenderedPageBreak/>
        <w:t>Wykonawca będzie odpowiadał za naprawę wszelkich robót w ten sposób uszkodzonych, zgodnie z poleceniami Inżyniera/Kierownika projektu.</w:t>
      </w:r>
    </w:p>
    <w:p w:rsidR="00752DE4" w:rsidRDefault="00752DE4" w:rsidP="00752DE4">
      <w:pPr>
        <w:pStyle w:val="Nagwek3"/>
      </w:pPr>
      <w:r>
        <w:rPr>
          <w:b/>
        </w:rPr>
        <w:t>1.5.10.</w:t>
      </w:r>
      <w:r>
        <w:t xml:space="preserve"> Bezpieczeństwo i higiena pracy</w:t>
      </w:r>
    </w:p>
    <w:p w:rsidR="00752DE4" w:rsidRDefault="00752DE4" w:rsidP="00752DE4">
      <w:pPr>
        <w:spacing w:before="60"/>
      </w:pPr>
      <w:r>
        <w:tab/>
        <w:t>Podczas realizacji robót Wykonawca będzie przestrzegać przepisów dotyczących bezpieczeństwa i higieny pracy.</w:t>
      </w:r>
    </w:p>
    <w:p w:rsidR="00752DE4" w:rsidRDefault="00752DE4" w:rsidP="00752DE4">
      <w:r>
        <w:tab/>
        <w:t>W szczególności Wykonawca ma obowiązek zadbać, aby personel nie wykonywał pracy w warunkach niebezpiecznych, szkodliwych dla zdrowia oraz nie spełniających odpowiednich wymagań sanitarnych.</w:t>
      </w:r>
    </w:p>
    <w:p w:rsidR="00752DE4" w:rsidRDefault="00752DE4" w:rsidP="00752DE4">
      <w:r>
        <w:tab/>
        <w:t>Wykonawca zapewni i będzie utrzymywał wszelkie urządzenia zabezpieczające, socjalne oraz sprzęt i odpowiednią odzież dla ochrony życia i zdrowia osób zatrudnionych na budowie oraz dla zapewnienia bezpieczeństwa publicznego.</w:t>
      </w:r>
    </w:p>
    <w:p w:rsidR="00752DE4" w:rsidRDefault="00752DE4" w:rsidP="00752DE4">
      <w:pPr>
        <w:spacing w:after="60"/>
      </w:pPr>
      <w:r>
        <w:tab/>
        <w:t>Uznaje się, że wszelkie koszty związane z wypełnieniem wymagań określonych powyżej nie podlegają odrębnej zapłacie i są uwzględnione w cenie kontraktowej.</w:t>
      </w:r>
    </w:p>
    <w:p w:rsidR="00752DE4" w:rsidRDefault="00752DE4" w:rsidP="00752DE4">
      <w:pPr>
        <w:pStyle w:val="Nagwek3"/>
      </w:pPr>
      <w:r>
        <w:rPr>
          <w:b/>
        </w:rPr>
        <w:t>1.5.11.</w:t>
      </w:r>
      <w:r>
        <w:t xml:space="preserve"> Ochrona i utrzymanie robót</w:t>
      </w:r>
    </w:p>
    <w:p w:rsidR="00752DE4" w:rsidRDefault="00752DE4" w:rsidP="00752DE4">
      <w:pPr>
        <w:pStyle w:val="Nagwek3"/>
        <w:spacing w:after="0"/>
      </w:pPr>
      <w:r>
        <w:tab/>
      </w:r>
      <w:bookmarkStart w:id="2" w:name="_Toc412518567"/>
      <w:r>
        <w:t>Wykonawca będzie odpowiadał za ochronę robót i za wszelkie materiały i urządzenia używane do robót od daty rozpoczęcia do daty wydania potwierdzenia zakończenia robót przez Inżyniera/Kierownika projektu.</w:t>
      </w:r>
      <w:bookmarkEnd w:id="2"/>
    </w:p>
    <w:p w:rsidR="00752DE4" w:rsidRDefault="00752DE4" w:rsidP="00752DE4">
      <w:r>
        <w:tab/>
        <w:t>Wykonawca będzie utrzymywać roboty do czasu odbioru ostatecznego. Utrzymanie powinno być prowadzone w taki sposób, aby budowla drogowa lub jej elementy były w zadowalającym stanie przez cały czas, do momentu odbioru ostatecznego.</w:t>
      </w:r>
    </w:p>
    <w:p w:rsidR="00752DE4" w:rsidRDefault="00752DE4" w:rsidP="00752DE4">
      <w:pPr>
        <w:spacing w:after="60"/>
      </w:pPr>
      <w:r>
        <w:tab/>
        <w:t>Jeśli Wykonawca w jakimkolwiek czasie zaniedba utrzymanie, to na polecenie Inżyniera/Kierownika projektu powinien rozpocząć roboty utrzymaniowe nie później niż w 24 godziny po otrzymaniu tego polecenia.</w:t>
      </w:r>
    </w:p>
    <w:p w:rsidR="00752DE4" w:rsidRDefault="00752DE4" w:rsidP="00752DE4">
      <w:pPr>
        <w:pStyle w:val="Nagwek3"/>
      </w:pPr>
      <w:r>
        <w:rPr>
          <w:b/>
        </w:rPr>
        <w:t>1.5.12.</w:t>
      </w:r>
      <w:r>
        <w:t xml:space="preserve"> Stosowanie się do prawa i innych przepisów</w:t>
      </w:r>
    </w:p>
    <w:p w:rsidR="00752DE4" w:rsidRDefault="00752DE4" w:rsidP="00752DE4">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52DE4" w:rsidRDefault="00752DE4" w:rsidP="00752DE4">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752DE4" w:rsidRDefault="00752DE4" w:rsidP="00752DE4">
      <w:pPr>
        <w:spacing w:after="120"/>
      </w:pPr>
      <w:r>
        <w:rPr>
          <w:b/>
        </w:rPr>
        <w:t xml:space="preserve">1.5.13. </w:t>
      </w:r>
      <w:r>
        <w:t>Równoważność norm i zbiorów przepisów prawnych</w:t>
      </w:r>
    </w:p>
    <w:p w:rsidR="00752DE4" w:rsidRDefault="00752DE4" w:rsidP="00752DE4">
      <w:pPr>
        <w:spacing w:after="120"/>
      </w:pPr>
      <w: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w:t>
      </w:r>
      <w:r>
        <w:lastRenderedPageBreak/>
        <w:t>dokładnie opisane przez Wykonawcę i przedłożone Inżynierowi/Kierownikowi projektu do zatwierdzenia.</w:t>
      </w:r>
    </w:p>
    <w:p w:rsidR="00752DE4" w:rsidRDefault="00752DE4" w:rsidP="00752DE4">
      <w:pPr>
        <w:spacing w:after="120"/>
      </w:pPr>
      <w:r>
        <w:rPr>
          <w:b/>
        </w:rPr>
        <w:t>1.5.14.</w:t>
      </w:r>
      <w:r>
        <w:t xml:space="preserve"> Wykopaliska</w:t>
      </w:r>
    </w:p>
    <w:p w:rsidR="00752DE4" w:rsidRDefault="00752DE4" w:rsidP="00752DE4">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752DE4" w:rsidRDefault="00752DE4" w:rsidP="00752DE4">
      <w:pPr>
        <w:spacing w:after="120"/>
        <w:rPr>
          <w:b/>
        </w:rPr>
      </w:pPr>
      <w:r>
        <w:rPr>
          <w:b/>
        </w:rPr>
        <w:t>1.6. Zaplecze Zamawiającego (</w:t>
      </w:r>
      <w:r>
        <w:t>o ile warunki kontraktu przewidują realizację</w:t>
      </w:r>
      <w:r>
        <w:rPr>
          <w:b/>
        </w:rPr>
        <w:t>)</w:t>
      </w:r>
    </w:p>
    <w:p w:rsidR="00752DE4" w:rsidRDefault="00752DE4" w:rsidP="00752DE4">
      <w:r>
        <w:rPr>
          <w:b/>
        </w:rPr>
        <w:tab/>
      </w:r>
      <w:r>
        <w:t>Wykonawca zobowiązany jest zabezpieczyć Zamawiającemu, pomieszczenia biurowe, sprzęt, transport oraz inne urządzenia towarzyszące, zgodnie z wymaganiami podanymi w D-M-00.00.01 „Zaplecze Zamawiającego”.</w:t>
      </w:r>
    </w:p>
    <w:p w:rsidR="00752DE4" w:rsidRDefault="00752DE4" w:rsidP="00752DE4">
      <w:pPr>
        <w:pStyle w:val="Nagwek1"/>
      </w:pPr>
      <w:bookmarkStart w:id="3" w:name="_Toc416830699"/>
      <w:bookmarkStart w:id="4" w:name="_Toc6881280"/>
      <w:bookmarkStart w:id="5" w:name="_Toc9229974"/>
      <w:r>
        <w:t>2. MATERIAŁY</w:t>
      </w:r>
      <w:bookmarkEnd w:id="3"/>
      <w:bookmarkEnd w:id="4"/>
      <w:bookmarkEnd w:id="5"/>
    </w:p>
    <w:p w:rsidR="00752DE4" w:rsidRDefault="00752DE4" w:rsidP="00752DE4">
      <w:pPr>
        <w:pStyle w:val="Nagwek2"/>
      </w:pPr>
      <w:r>
        <w:t>2.1. Źródła uzyskania materiałów</w:t>
      </w:r>
    </w:p>
    <w:p w:rsidR="00752DE4" w:rsidRDefault="00752DE4" w:rsidP="00752DE4">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752DE4" w:rsidRDefault="00752DE4" w:rsidP="00752DE4">
      <w:r>
        <w:tab/>
        <w:t>Zatwierdzenie partii materiałów z danego źródła nie oznacza automatycznie, że wszelkie materiały z danego źródła uzyskają zatwierdzenie.</w:t>
      </w:r>
    </w:p>
    <w:p w:rsidR="00752DE4" w:rsidRDefault="00752DE4" w:rsidP="00752DE4">
      <w:r>
        <w:tab/>
        <w:t>Wykonawca zobowiązany jest do prowadzenia badań w celu wykazania, że materiały uzyskane z dopuszczonego źródła w sposób ciągły spełniają wymagania SST w czasie realizacji robót.</w:t>
      </w:r>
    </w:p>
    <w:p w:rsidR="00752DE4" w:rsidRDefault="00752DE4" w:rsidP="00752DE4">
      <w:pPr>
        <w:pStyle w:val="Nagwek2"/>
      </w:pPr>
      <w:r>
        <w:t>2.2. Pozyskiwanie materiałów miejscowych</w:t>
      </w:r>
    </w:p>
    <w:p w:rsidR="00752DE4" w:rsidRDefault="00752DE4" w:rsidP="00752DE4">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52DE4" w:rsidRDefault="00752DE4" w:rsidP="00752DE4">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752DE4" w:rsidRDefault="00752DE4" w:rsidP="00752DE4">
      <w:r>
        <w:tab/>
        <w:t>Wykonawca ponosi odpowiedzialność za spełnienie wymagań ilościowych i jakościowych materiałów pochodzących ze źródeł miejscowych.</w:t>
      </w:r>
    </w:p>
    <w:p w:rsidR="00752DE4" w:rsidRDefault="00752DE4" w:rsidP="00752DE4">
      <w:r>
        <w:tab/>
        <w:t>Wykonawca ponosi wszystkie koszty, z tytułu wydobycia materiałów, dzierżawy i inne jakie okażą się potrzebne w związku  z dostarczeniem materiałów do robót.</w:t>
      </w:r>
    </w:p>
    <w:p w:rsidR="00752DE4" w:rsidRDefault="00752DE4" w:rsidP="00752DE4">
      <w:r>
        <w:tab/>
        <w:t>Humus i nadkład czasowo zdjęte z terenu wykopów, dokopów i miejsc pozyskania materiałów miejscowych będą formowane w hałdy i wykorzystane przy zasypce i rekultywacji terenu po ukończeniu robót.</w:t>
      </w:r>
    </w:p>
    <w:p w:rsidR="00752DE4" w:rsidRDefault="00752DE4" w:rsidP="00752DE4">
      <w:r>
        <w:lastRenderedPageBreak/>
        <w:tab/>
        <w:t>Wszystkie odpowiednie materiały pozyskane z wykopów na terenie budowy lub z innych miejsc wskazanych w dokumentach umowy będą wykorzystane do robót lub odwiezione na odkład odpowiednio do wymagań umowy lub wskazań Inżyniera/Kierownika projektu.</w:t>
      </w:r>
    </w:p>
    <w:p w:rsidR="00752DE4" w:rsidRDefault="00752DE4" w:rsidP="00752DE4">
      <w:r>
        <w:tab/>
        <w:t>Wykonawca nie będzie prowadzić żadnych wykopów w obrębie terenu budowy poza tymi, które zostały wyszczególnione w dokumentach umowy, chyba, że uzyska na to pisemną zgodę Inżyniera/Kierownika projektu.</w:t>
      </w:r>
    </w:p>
    <w:p w:rsidR="00752DE4" w:rsidRDefault="00752DE4" w:rsidP="00752DE4">
      <w:r>
        <w:tab/>
        <w:t>Eksploatacja źródeł materiałów będzie zgodna z wszelkimi regulacjami prawnymi obowiązującymi na danym obszarze.</w:t>
      </w:r>
    </w:p>
    <w:p w:rsidR="00752DE4" w:rsidRDefault="00752DE4" w:rsidP="00752DE4">
      <w:pPr>
        <w:pStyle w:val="Nagwek2"/>
      </w:pPr>
      <w:r>
        <w:t>2.3. Materiały nie odpowiadające wymaganiom</w:t>
      </w:r>
    </w:p>
    <w:p w:rsidR="00752DE4" w:rsidRDefault="00752DE4" w:rsidP="00752DE4">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752DE4" w:rsidRDefault="00752DE4" w:rsidP="00752DE4">
      <w:r>
        <w:tab/>
        <w:t>Każdy rodzaj robót, w którym znajdują się nie zbadane i nie zaakceptowane materiały, Wykonawca wykonuje na własne ryzyko, licząc się z jego nieprzyjęciem, usunięciem  i niezapłaceniem</w:t>
      </w:r>
    </w:p>
    <w:p w:rsidR="00752DE4" w:rsidRDefault="00752DE4" w:rsidP="00752DE4">
      <w:pPr>
        <w:pStyle w:val="Nagwek2"/>
      </w:pPr>
      <w:r>
        <w:t>2.4. Wariantowe stosowanie materiałów</w:t>
      </w:r>
    </w:p>
    <w:p w:rsidR="00752DE4" w:rsidRDefault="00752DE4" w:rsidP="00752DE4">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752DE4" w:rsidRDefault="00752DE4" w:rsidP="00752DE4">
      <w:pPr>
        <w:pStyle w:val="Nagwek2"/>
      </w:pPr>
      <w:r>
        <w:t>2.5. Przechowywanie i składowanie materiałów</w:t>
      </w:r>
    </w:p>
    <w:p w:rsidR="00752DE4" w:rsidRDefault="00752DE4" w:rsidP="00752DE4">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52DE4" w:rsidRDefault="00752DE4" w:rsidP="00752DE4">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752DE4" w:rsidRDefault="00752DE4" w:rsidP="00752DE4">
      <w:pPr>
        <w:pStyle w:val="Nagwek2"/>
      </w:pPr>
      <w:r>
        <w:t>2.6. Inspekcja wytwórni materiałów</w:t>
      </w:r>
    </w:p>
    <w:p w:rsidR="00752DE4" w:rsidRDefault="00752DE4" w:rsidP="00752DE4">
      <w: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52DE4" w:rsidRDefault="00752DE4" w:rsidP="00752DE4">
      <w:r>
        <w:tab/>
        <w:t>W przypadku, gdy Inżynier/Kierownik projektu będzie przeprowadzał inspekcję wytwórni, muszą być spełnione następujące warunki:</w:t>
      </w:r>
    </w:p>
    <w:p w:rsidR="00752DE4" w:rsidRDefault="00752DE4" w:rsidP="00B4292E">
      <w:pPr>
        <w:numPr>
          <w:ilvl w:val="0"/>
          <w:numId w:val="42"/>
        </w:numPr>
        <w:overflowPunct w:val="0"/>
        <w:autoSpaceDE w:val="0"/>
        <w:autoSpaceDN w:val="0"/>
        <w:adjustRightInd w:val="0"/>
        <w:spacing w:after="0" w:line="240" w:lineRule="auto"/>
        <w:jc w:val="both"/>
      </w:pPr>
      <w:r>
        <w:t>Inżynier/Kierownik projektu będzie miał zapewnioną współpracę i pomoc Wykonawcy oraz producenta materiałów w czasie przeprowadzania inspekcji,</w:t>
      </w:r>
    </w:p>
    <w:p w:rsidR="00752DE4" w:rsidRDefault="00752DE4" w:rsidP="00B4292E">
      <w:pPr>
        <w:numPr>
          <w:ilvl w:val="0"/>
          <w:numId w:val="42"/>
        </w:numPr>
        <w:overflowPunct w:val="0"/>
        <w:autoSpaceDE w:val="0"/>
        <w:autoSpaceDN w:val="0"/>
        <w:adjustRightInd w:val="0"/>
        <w:spacing w:after="0" w:line="240" w:lineRule="auto"/>
        <w:jc w:val="both"/>
      </w:pPr>
      <w:r>
        <w:t>Inżynier/Kierownik projektu będzie miał wolny dostęp, w dowolnym czasie, do tych części wytwórni, gdzie odbywa się produkcja materiałów przeznaczonych do realizacji robót,</w:t>
      </w:r>
    </w:p>
    <w:p w:rsidR="00752DE4" w:rsidRDefault="00752DE4" w:rsidP="00B4292E">
      <w:pPr>
        <w:numPr>
          <w:ilvl w:val="0"/>
          <w:numId w:val="42"/>
        </w:numPr>
        <w:overflowPunct w:val="0"/>
        <w:autoSpaceDE w:val="0"/>
        <w:autoSpaceDN w:val="0"/>
        <w:adjustRightInd w:val="0"/>
        <w:spacing w:after="0" w:line="240" w:lineRule="auto"/>
        <w:ind w:left="284" w:hanging="284"/>
        <w:jc w:val="both"/>
      </w:pPr>
      <w:r>
        <w:lastRenderedPageBreak/>
        <w:t>Jeżeli produkcja odbywa się w miejscu nie należącym do Wykonawcy, Wykonawca uzyska dla Inżyniera/Kierownika projektu zezwolenie dla przeprowadzenia inspekcji i badań w tych miejscach.</w:t>
      </w:r>
    </w:p>
    <w:p w:rsidR="00752DE4" w:rsidRDefault="00752DE4" w:rsidP="00752DE4">
      <w:pPr>
        <w:pStyle w:val="Nagwek1"/>
      </w:pPr>
      <w:bookmarkStart w:id="6" w:name="_Toc416830700"/>
      <w:bookmarkStart w:id="7" w:name="_Toc6881281"/>
      <w:bookmarkStart w:id="8" w:name="_Toc9229975"/>
      <w:r>
        <w:t>3. sprzęt</w:t>
      </w:r>
      <w:bookmarkEnd w:id="6"/>
      <w:bookmarkEnd w:id="7"/>
      <w:bookmarkEnd w:id="8"/>
    </w:p>
    <w:p w:rsidR="00752DE4" w:rsidRDefault="00752DE4" w:rsidP="00752DE4">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752DE4" w:rsidRDefault="00752DE4" w:rsidP="00752DE4">
      <w:r>
        <w:tab/>
        <w:t>Liczba i wydajność sprzętu powinny gwarantować przeprowadzenie robót, zgodnie z zasadami określonymi w dokumentacji projektowej, SST i wskazaniach Inżyniera/Kierownika projektu.</w:t>
      </w:r>
    </w:p>
    <w:p w:rsidR="00752DE4" w:rsidRDefault="00752DE4" w:rsidP="00752DE4">
      <w:r>
        <w:tab/>
        <w:t>Sprzęt będący własnością Wykonawcy lub wynajęty do wykonania robót ma być utrzymywany w dobrym stanie i gotowości do pracy. Powinien być zgodny z normami ochrony środowiska i przepisami dotyczącymi jego użytkowania.</w:t>
      </w:r>
    </w:p>
    <w:p w:rsidR="00752DE4" w:rsidRDefault="00752DE4" w:rsidP="00752DE4">
      <w:r>
        <w:tab/>
        <w:t>Wykonawca dostarczy Inżynierowi/Kierownikowi projektu kopie dokumentów potwierdzających dopuszczenie sprzętu do użytkowania i badań okresowych, tam gdzie jest to wymagane przepisami.</w:t>
      </w:r>
    </w:p>
    <w:p w:rsidR="00752DE4" w:rsidRDefault="00752DE4" w:rsidP="00752DE4">
      <w:r>
        <w:tab/>
        <w:t>Wykonawca będzie konserwować sprzęt jak również naprawiać lub wymieniać sprzęt niesprawny.</w:t>
      </w:r>
    </w:p>
    <w:p w:rsidR="00752DE4" w:rsidRDefault="00752DE4" w:rsidP="00752DE4">
      <w: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752DE4" w:rsidRDefault="00752DE4" w:rsidP="00752DE4">
      <w:r>
        <w:tab/>
        <w:t>Jakikolwiek sprzęt, maszyny, urządzenia i narzędzia nie gwarantujące zachowania warunków umowy, zostaną przez Inżyniera/Kierownika projektu zdyskwalifikowane i nie dopuszczone do robót.</w:t>
      </w:r>
    </w:p>
    <w:p w:rsidR="00752DE4" w:rsidRDefault="00752DE4" w:rsidP="00752DE4">
      <w:pPr>
        <w:pStyle w:val="Nagwek1"/>
      </w:pPr>
      <w:bookmarkStart w:id="9" w:name="_Toc416830701"/>
      <w:bookmarkStart w:id="10" w:name="_Toc6881282"/>
      <w:bookmarkStart w:id="11" w:name="_Toc9229976"/>
      <w:r>
        <w:t>4. transport</w:t>
      </w:r>
      <w:bookmarkEnd w:id="9"/>
      <w:bookmarkEnd w:id="10"/>
      <w:bookmarkEnd w:id="11"/>
    </w:p>
    <w:p w:rsidR="00752DE4" w:rsidRDefault="00752DE4" w:rsidP="00752DE4">
      <w:r>
        <w:tab/>
        <w:t>Wykonawca jest zobowiązany do stosowania jedynie takich środków transportu, które nie wpłyną niekorzystnie na jakość wykonywanych robót i właściwości przewożonych materiałów.</w:t>
      </w:r>
    </w:p>
    <w:p w:rsidR="00752DE4" w:rsidRDefault="00752DE4" w:rsidP="00752DE4">
      <w:r>
        <w:tab/>
        <w:t>Liczba środków transportu powinna zapewniać prowadzenie robót zgodnie z zasadami określonymi w dokumentacji projektowej, SST i wskazaniach Inżyniera/Kierownika projektu, w terminie przewidzianym umową.</w:t>
      </w:r>
    </w:p>
    <w:p w:rsidR="00752DE4" w:rsidRDefault="00752DE4" w:rsidP="00752DE4">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752DE4" w:rsidRDefault="00752DE4" w:rsidP="00752DE4">
      <w:r>
        <w:tab/>
        <w:t>Wykonawca będzie usuwać na bieżąco, na własny koszt, wszelkie zanieczyszczenia, uszkodzenia spowodowane jego pojazdami na drogach publicznych oraz dojazdach do terenu budowy.</w:t>
      </w:r>
    </w:p>
    <w:p w:rsidR="00752DE4" w:rsidRDefault="00752DE4" w:rsidP="00752DE4">
      <w:pPr>
        <w:pStyle w:val="Nagwek1"/>
      </w:pPr>
      <w:bookmarkStart w:id="12" w:name="_Toc416830702"/>
      <w:bookmarkStart w:id="13" w:name="_Toc6881283"/>
      <w:bookmarkStart w:id="14" w:name="_Toc9229977"/>
      <w:r>
        <w:lastRenderedPageBreak/>
        <w:t>5. wykonanie robót</w:t>
      </w:r>
      <w:bookmarkEnd w:id="12"/>
      <w:bookmarkEnd w:id="13"/>
      <w:bookmarkEnd w:id="14"/>
    </w:p>
    <w:p w:rsidR="00752DE4" w:rsidRDefault="00752DE4" w:rsidP="00752DE4">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752DE4" w:rsidRDefault="00752DE4" w:rsidP="00752DE4">
      <w:pPr>
        <w:pStyle w:val="tekstost"/>
      </w:pPr>
      <w:r>
        <w:tab/>
        <w:t>Wykonawca jest odpowiedzialny za stosowane metody wykonywania robót.</w:t>
      </w:r>
    </w:p>
    <w:p w:rsidR="00752DE4" w:rsidRDefault="00752DE4" w:rsidP="00752DE4">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752DE4" w:rsidRDefault="00752DE4" w:rsidP="00752DE4">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752DE4" w:rsidRDefault="00752DE4" w:rsidP="00752DE4">
      <w:pPr>
        <w:pStyle w:val="tekstost"/>
      </w:pPr>
      <w:r>
        <w:tab/>
        <w:t>Sprawdzenie wytyczenia robót lub wyznaczenia wysokości przez Inżyniera/Kierownika projektu nie zwalnia Wykonawcy od odpowiedzialności za ich dokładność.</w:t>
      </w:r>
    </w:p>
    <w:p w:rsidR="00752DE4" w:rsidRDefault="00752DE4" w:rsidP="00752DE4">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752DE4" w:rsidRDefault="00752DE4" w:rsidP="00752DE4">
      <w:pPr>
        <w:pStyle w:val="tekstost"/>
      </w:pPr>
      <w:r>
        <w:tab/>
        <w:t>Polecenia Inżyniera/Kierownika projektu powinny być wykonywane przez Wykonawcę w czasie określonym przez Inżyniera/Kierownika projektu, pod groźbą zatrzymania robót. Skutki finansowe z tego tytułu poniesie Wykonawca.</w:t>
      </w:r>
    </w:p>
    <w:p w:rsidR="00752DE4" w:rsidRDefault="00752DE4" w:rsidP="00752DE4">
      <w:pPr>
        <w:pStyle w:val="Nagwek1"/>
      </w:pPr>
      <w:bookmarkStart w:id="15" w:name="_Toc416830703"/>
      <w:bookmarkStart w:id="16" w:name="_Toc6881284"/>
      <w:bookmarkStart w:id="17" w:name="_Toc9229978"/>
      <w:r>
        <w:t>6. kontrola jakości robót</w:t>
      </w:r>
      <w:bookmarkEnd w:id="15"/>
      <w:bookmarkEnd w:id="16"/>
      <w:bookmarkEnd w:id="17"/>
    </w:p>
    <w:p w:rsidR="00752DE4" w:rsidRDefault="00752DE4" w:rsidP="00752DE4">
      <w:pPr>
        <w:pStyle w:val="Nagwek2"/>
      </w:pPr>
      <w:r>
        <w:t xml:space="preserve">6.1. Program zapewnienia jakości </w:t>
      </w:r>
    </w:p>
    <w:p w:rsidR="00752DE4" w:rsidRDefault="00752DE4" w:rsidP="00752DE4">
      <w:pPr>
        <w:pStyle w:val="tekstost"/>
      </w:pPr>
      <w: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752DE4" w:rsidRDefault="00752DE4" w:rsidP="00752DE4">
      <w:pPr>
        <w:pStyle w:val="tekstost"/>
      </w:pPr>
      <w:r>
        <w:tab/>
        <w:t>Program zapewnienia jakości powinien zawierać:</w:t>
      </w:r>
    </w:p>
    <w:p w:rsidR="00752DE4" w:rsidRDefault="00752DE4" w:rsidP="00752DE4">
      <w:pPr>
        <w:pStyle w:val="tekstost"/>
      </w:pPr>
      <w:r>
        <w:t>a) część ogólną opisującą:</w:t>
      </w:r>
    </w:p>
    <w:p w:rsidR="00752DE4" w:rsidRDefault="00752DE4" w:rsidP="00752DE4">
      <w:pPr>
        <w:pStyle w:val="tekstost"/>
        <w:numPr>
          <w:ilvl w:val="0"/>
          <w:numId w:val="5"/>
        </w:numPr>
        <w:ind w:left="988"/>
      </w:pPr>
      <w:r>
        <w:t>organizację wykonania robót, w tym terminy i sposób prowadzenia robót,</w:t>
      </w:r>
    </w:p>
    <w:p w:rsidR="00752DE4" w:rsidRDefault="00752DE4" w:rsidP="00752DE4">
      <w:pPr>
        <w:pStyle w:val="tekstost"/>
        <w:numPr>
          <w:ilvl w:val="0"/>
          <w:numId w:val="5"/>
        </w:numPr>
        <w:ind w:left="988"/>
      </w:pPr>
      <w:r>
        <w:t>organizację ruchu na budowie wraz z oznakowaniem robót,</w:t>
      </w:r>
    </w:p>
    <w:p w:rsidR="00752DE4" w:rsidRDefault="00752DE4" w:rsidP="00752DE4">
      <w:pPr>
        <w:pStyle w:val="tekstost"/>
        <w:numPr>
          <w:ilvl w:val="0"/>
          <w:numId w:val="5"/>
        </w:numPr>
        <w:ind w:left="988"/>
      </w:pPr>
      <w:r>
        <w:t>sposób zapewnienia bhp.,</w:t>
      </w:r>
    </w:p>
    <w:p w:rsidR="00752DE4" w:rsidRDefault="00752DE4" w:rsidP="00752DE4">
      <w:pPr>
        <w:pStyle w:val="tekstost"/>
        <w:numPr>
          <w:ilvl w:val="0"/>
          <w:numId w:val="5"/>
        </w:numPr>
        <w:ind w:left="988"/>
      </w:pPr>
      <w:r>
        <w:t>wykaz zespołów roboczych, ich kwalifikacje i przygotowanie praktyczne,</w:t>
      </w:r>
    </w:p>
    <w:p w:rsidR="00752DE4" w:rsidRDefault="00752DE4" w:rsidP="00752DE4">
      <w:pPr>
        <w:pStyle w:val="tekstost"/>
        <w:numPr>
          <w:ilvl w:val="0"/>
          <w:numId w:val="5"/>
        </w:numPr>
        <w:ind w:left="988"/>
      </w:pPr>
      <w:r>
        <w:t>wykaz osób odpowiedzialnych za jakość i terminowość wykonania poszczególnych elementów robót,</w:t>
      </w:r>
    </w:p>
    <w:p w:rsidR="00752DE4" w:rsidRDefault="00752DE4" w:rsidP="00752DE4">
      <w:pPr>
        <w:pStyle w:val="tekstost"/>
        <w:numPr>
          <w:ilvl w:val="0"/>
          <w:numId w:val="5"/>
        </w:numPr>
        <w:ind w:left="988"/>
      </w:pPr>
      <w:r>
        <w:t>system (sposób i procedurę) proponowanej kontroli i sterowania jakością wykonywanych robót,</w:t>
      </w:r>
    </w:p>
    <w:p w:rsidR="00752DE4" w:rsidRDefault="00752DE4" w:rsidP="00752DE4">
      <w:pPr>
        <w:pStyle w:val="tekstost"/>
        <w:numPr>
          <w:ilvl w:val="0"/>
          <w:numId w:val="5"/>
        </w:numPr>
        <w:ind w:left="988"/>
      </w:pPr>
      <w:r>
        <w:t>wyposażenie w sprzęt i urządzenia do pomiarów i kontroli (opis laboratorium własnego lub laboratorium, któremu Wykonawca zamierza zlecić prowadzenie badań),</w:t>
      </w:r>
    </w:p>
    <w:p w:rsidR="00752DE4" w:rsidRDefault="00752DE4" w:rsidP="00752DE4">
      <w:pPr>
        <w:pStyle w:val="tekstost"/>
        <w:numPr>
          <w:ilvl w:val="0"/>
          <w:numId w:val="5"/>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752DE4" w:rsidRDefault="00752DE4" w:rsidP="00752DE4">
      <w:pPr>
        <w:pStyle w:val="tekstost"/>
      </w:pPr>
      <w:r>
        <w:t>b) część szczegółową opisującą dla każdego asortymentu robót:</w:t>
      </w:r>
    </w:p>
    <w:p w:rsidR="00752DE4" w:rsidRDefault="00752DE4" w:rsidP="00752DE4">
      <w:pPr>
        <w:pStyle w:val="tekstost"/>
        <w:numPr>
          <w:ilvl w:val="0"/>
          <w:numId w:val="5"/>
        </w:numPr>
        <w:ind w:left="988"/>
      </w:pPr>
      <w:r>
        <w:t>wykaz maszyn i urządzeń stosowanych na budowie z ich parametrami technicznymi oraz wyposażeniem w mechanizmy do sterowania i urządzenia pomiarowo-kontrolne,</w:t>
      </w:r>
    </w:p>
    <w:p w:rsidR="00752DE4" w:rsidRDefault="00752DE4" w:rsidP="00752DE4">
      <w:pPr>
        <w:pStyle w:val="tekstost"/>
        <w:numPr>
          <w:ilvl w:val="0"/>
          <w:numId w:val="5"/>
        </w:numPr>
        <w:ind w:left="988"/>
      </w:pPr>
      <w:r>
        <w:t>rodzaje i ilość środków transportu oraz urządzeń do magazynowania i załadunku materiałów, spoiw, lepiszczy, kruszyw itp.,</w:t>
      </w:r>
    </w:p>
    <w:p w:rsidR="00752DE4" w:rsidRDefault="00752DE4" w:rsidP="00752DE4">
      <w:pPr>
        <w:pStyle w:val="tekstost"/>
        <w:numPr>
          <w:ilvl w:val="0"/>
          <w:numId w:val="5"/>
        </w:numPr>
        <w:ind w:left="988"/>
      </w:pPr>
      <w:r>
        <w:t>sposób zabezpieczenia i ochrony ładunków przed utratą ich właściwości w czasie transportu,</w:t>
      </w:r>
    </w:p>
    <w:p w:rsidR="00752DE4" w:rsidRDefault="00752DE4" w:rsidP="00752DE4">
      <w:pPr>
        <w:pStyle w:val="tekstost"/>
        <w:numPr>
          <w:ilvl w:val="0"/>
          <w:numId w:val="5"/>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752DE4" w:rsidRDefault="00752DE4" w:rsidP="00752DE4">
      <w:pPr>
        <w:pStyle w:val="tekstost"/>
        <w:numPr>
          <w:ilvl w:val="0"/>
          <w:numId w:val="5"/>
        </w:numPr>
        <w:ind w:left="988"/>
      </w:pPr>
      <w:r>
        <w:t>sposób postępowania z materiałami i robotami nie odpowiadającymi wymaganiom.</w:t>
      </w:r>
    </w:p>
    <w:p w:rsidR="00752DE4" w:rsidRDefault="00752DE4" w:rsidP="00752DE4">
      <w:pPr>
        <w:pStyle w:val="Nagwek2"/>
      </w:pPr>
      <w:r>
        <w:t>6.2. Zasady kontroli jakości robót</w:t>
      </w:r>
    </w:p>
    <w:p w:rsidR="00752DE4" w:rsidRDefault="00752DE4" w:rsidP="00752DE4">
      <w:pPr>
        <w:pStyle w:val="tekstost"/>
      </w:pPr>
      <w:r>
        <w:tab/>
        <w:t>Celem kontroli robót będzie takie sterowanie ich przygotowaniem i wykonaniem, aby osiągnąć założoną jakość robót.</w:t>
      </w:r>
    </w:p>
    <w:p w:rsidR="00752DE4" w:rsidRDefault="00752DE4" w:rsidP="00752DE4">
      <w:pPr>
        <w:pStyle w:val="tekstost"/>
      </w:pPr>
      <w:r>
        <w:lastRenderedPageBreak/>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52DE4" w:rsidRDefault="00752DE4" w:rsidP="00752DE4">
      <w:pPr>
        <w:pStyle w:val="tekstost"/>
      </w:pPr>
      <w:r>
        <w:tab/>
        <w:t>Przed zatwierdzeniem systemu kontroli Inżynier/Kierownik projektu może zażądać od Wykonawcy przeprowadzenia badań w celu zademonstrowania, że poziom ich wykonywania jest zadowalający.</w:t>
      </w:r>
    </w:p>
    <w:p w:rsidR="00752DE4" w:rsidRDefault="00752DE4" w:rsidP="00752DE4">
      <w:pPr>
        <w:pStyle w:val="tekstost"/>
      </w:pPr>
      <w:r>
        <w:tab/>
        <w:t>Wykonawca będzie przeprowadzać pomiary i badania materiałów oraz robót z częstotliwością zapewniającą stwierdzenie, że roboty wykonano zgodnie z wymaganiami zawartymi w dokumentacji projektowej i SST</w:t>
      </w:r>
    </w:p>
    <w:p w:rsidR="00752DE4" w:rsidRDefault="00752DE4" w:rsidP="00752DE4">
      <w:pPr>
        <w:pStyle w:val="tekstost"/>
      </w:pPr>
      <w: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752DE4" w:rsidRDefault="00752DE4" w:rsidP="00752DE4">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752DE4" w:rsidRDefault="00752DE4" w:rsidP="00752DE4">
      <w:pPr>
        <w:pStyle w:val="tekstost"/>
      </w:pPr>
      <w:r>
        <w:tab/>
        <w:t>Inżynier/Kierownik projektu będzie mieć nieograniczony dostęp do pomieszczeń laboratoryjnych, w celu ich inspekcji.</w:t>
      </w:r>
    </w:p>
    <w:p w:rsidR="00752DE4" w:rsidRDefault="00752DE4" w:rsidP="00752DE4">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752DE4" w:rsidRDefault="00752DE4" w:rsidP="00752DE4">
      <w:pPr>
        <w:pStyle w:val="tekstost"/>
      </w:pPr>
      <w:r>
        <w:tab/>
        <w:t>Wszystkie koszty związane z organizowaniem i prowadzeniem badań materiałów ponosi Wykonawca.</w:t>
      </w:r>
    </w:p>
    <w:p w:rsidR="00752DE4" w:rsidRDefault="00752DE4" w:rsidP="00752DE4">
      <w:pPr>
        <w:pStyle w:val="Nagwek2"/>
      </w:pPr>
      <w:r>
        <w:t>6.3. Pobieranie próbek</w:t>
      </w:r>
    </w:p>
    <w:p w:rsidR="00752DE4" w:rsidRDefault="00752DE4" w:rsidP="00752DE4">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752DE4" w:rsidRDefault="00752DE4" w:rsidP="00752DE4">
      <w:pPr>
        <w:pStyle w:val="tekstost"/>
      </w:pPr>
      <w:r>
        <w:tab/>
        <w:t>Inżynier/Kierownik projektu będzie mieć zapewnioną możliwość udziału w pobieraniu próbek.</w:t>
      </w:r>
    </w:p>
    <w:p w:rsidR="00752DE4" w:rsidRDefault="00752DE4" w:rsidP="00752DE4">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752DE4" w:rsidRDefault="00752DE4" w:rsidP="00752DE4">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752DE4" w:rsidRDefault="00752DE4" w:rsidP="00752DE4">
      <w:pPr>
        <w:pStyle w:val="Nagwek2"/>
      </w:pPr>
      <w:r>
        <w:t>6.4. Badania i pomiary</w:t>
      </w:r>
    </w:p>
    <w:p w:rsidR="00752DE4" w:rsidRDefault="00752DE4" w:rsidP="00752DE4">
      <w:pPr>
        <w:pStyle w:val="tekstost"/>
      </w:pPr>
      <w:r>
        <w:tab/>
        <w:t>Wszystkie badania i pomiary będą przeprowadzone zgodnie z wymaganiami norm. W przypadku, gdy normy nie obejmują jakiegokolwiek badania wymaganego w SST, stosować można wytyczne krajowe, albo inne procedury, zaakceptowane przez Inżyniera/Kierownika projektu.</w:t>
      </w:r>
    </w:p>
    <w:p w:rsidR="00752DE4" w:rsidRDefault="00752DE4" w:rsidP="00752DE4">
      <w:pPr>
        <w:pStyle w:val="tekstost"/>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752DE4" w:rsidRDefault="00752DE4" w:rsidP="00752DE4">
      <w:pPr>
        <w:pStyle w:val="Nagwek2"/>
      </w:pPr>
      <w:r>
        <w:t>6.5. Raporty z badań</w:t>
      </w:r>
    </w:p>
    <w:p w:rsidR="00752DE4" w:rsidRDefault="00752DE4" w:rsidP="00752DE4">
      <w:pPr>
        <w:pStyle w:val="tekstost"/>
      </w:pPr>
      <w:r>
        <w:tab/>
        <w:t>Wykonawca będzie przekazywać Inżynierowi/Kierownikowi projektu kopie raportów z wynikami badań jak najszybciej, nie później jednak niż w terminie określonym w programie zapewnienia jakości.</w:t>
      </w:r>
    </w:p>
    <w:p w:rsidR="00752DE4" w:rsidRDefault="00752DE4" w:rsidP="00752DE4">
      <w:pPr>
        <w:pStyle w:val="tekstost"/>
      </w:pPr>
      <w:r>
        <w:tab/>
        <w:t>Wyniki badań (kopie) będą przekazywane Inżynierowi/Kierownikowi projektu na formularzach według dostarczonego przez niego wzoru lub innych, przez niego zaaprobowanych.</w:t>
      </w:r>
    </w:p>
    <w:p w:rsidR="00752DE4" w:rsidRDefault="00752DE4" w:rsidP="00752DE4">
      <w:pPr>
        <w:pStyle w:val="Nagwek2"/>
      </w:pPr>
      <w:r>
        <w:t>6.6. Badania prowadzone przez Inżyniera/Kierownika projektu</w:t>
      </w:r>
    </w:p>
    <w:p w:rsidR="00752DE4" w:rsidRDefault="00752DE4" w:rsidP="00752DE4">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752DE4" w:rsidRDefault="00752DE4" w:rsidP="00752DE4">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752DE4" w:rsidRDefault="00752DE4" w:rsidP="00752DE4">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752DE4" w:rsidRDefault="00752DE4" w:rsidP="00752DE4">
      <w:pPr>
        <w:pStyle w:val="Nagwek2"/>
      </w:pPr>
      <w:r>
        <w:t>6.7. Certyfikaty i deklaracje</w:t>
      </w:r>
    </w:p>
    <w:p w:rsidR="00752DE4" w:rsidRDefault="00752DE4" w:rsidP="00752DE4">
      <w:pPr>
        <w:pStyle w:val="tekstost"/>
      </w:pPr>
      <w:r>
        <w:tab/>
        <w:t>Inżynier/Kierownik projektu może dopuścić do użycia tylko te materiały, które posiadają:</w:t>
      </w:r>
    </w:p>
    <w:p w:rsidR="00752DE4" w:rsidRDefault="00752DE4" w:rsidP="00B4292E">
      <w:pPr>
        <w:pStyle w:val="tekstost"/>
        <w:numPr>
          <w:ilvl w:val="0"/>
          <w:numId w:val="43"/>
        </w:numPr>
      </w:pPr>
      <w:r>
        <w:t>certyfikat na znak bezpieczeństwa wykazujący, że zapewniono zgodność z kryteriami technicznymi określonymi na podstawie Polskich Norm, aprobat technicznych oraz właściwych przepisów i dokumentów technicznych,</w:t>
      </w:r>
    </w:p>
    <w:p w:rsidR="00752DE4" w:rsidRDefault="00752DE4" w:rsidP="00B4292E">
      <w:pPr>
        <w:pStyle w:val="tekstost"/>
        <w:numPr>
          <w:ilvl w:val="0"/>
          <w:numId w:val="43"/>
        </w:numPr>
      </w:pPr>
      <w:r>
        <w:t>deklarację zgodności lub certyfikat zgodności z:</w:t>
      </w:r>
    </w:p>
    <w:p w:rsidR="00752DE4" w:rsidRDefault="00752DE4" w:rsidP="00752DE4">
      <w:pPr>
        <w:pStyle w:val="tekstost"/>
        <w:numPr>
          <w:ilvl w:val="0"/>
          <w:numId w:val="5"/>
        </w:numPr>
        <w:ind w:left="988"/>
      </w:pPr>
      <w:r>
        <w:t>Polską Normą lub</w:t>
      </w:r>
    </w:p>
    <w:p w:rsidR="00752DE4" w:rsidRDefault="00752DE4" w:rsidP="00752DE4">
      <w:pPr>
        <w:pStyle w:val="tekstost"/>
        <w:numPr>
          <w:ilvl w:val="0"/>
          <w:numId w:val="5"/>
        </w:numPr>
        <w:ind w:left="988"/>
      </w:pPr>
      <w:r>
        <w:t>aprobatą techniczną, w przypadku wyrobów, dla których nie ustanowiono Polskiej Normy, jeżeli nie są objęte certyfikacją określoną w pkt 1</w:t>
      </w:r>
    </w:p>
    <w:p w:rsidR="00752DE4" w:rsidRDefault="00752DE4" w:rsidP="00752DE4">
      <w:pPr>
        <w:pStyle w:val="tekstost"/>
        <w:ind w:left="284"/>
      </w:pPr>
      <w:r>
        <w:t>i które spełniają wymogi SST.</w:t>
      </w:r>
    </w:p>
    <w:p w:rsidR="00752DE4" w:rsidRDefault="00752DE4" w:rsidP="00752DE4">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752DE4" w:rsidRDefault="00752DE4" w:rsidP="00752DE4">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752DE4" w:rsidRDefault="00752DE4" w:rsidP="00752DE4">
      <w:pPr>
        <w:pStyle w:val="tekstost"/>
        <w:numPr>
          <w:ilvl w:val="12"/>
          <w:numId w:val="0"/>
        </w:numPr>
      </w:pPr>
      <w:r>
        <w:tab/>
        <w:t>Jakiekolwiek materiały, które nie spełniają tych wymagań będą odrzucone.</w:t>
      </w:r>
    </w:p>
    <w:p w:rsidR="00752DE4" w:rsidRDefault="00752DE4" w:rsidP="00752DE4">
      <w:pPr>
        <w:pStyle w:val="Nagwek2"/>
        <w:numPr>
          <w:ilvl w:val="12"/>
          <w:numId w:val="0"/>
        </w:numPr>
      </w:pPr>
      <w:r>
        <w:t>6.8. Dokumenty budowy</w:t>
      </w:r>
    </w:p>
    <w:p w:rsidR="00752DE4" w:rsidRDefault="00752DE4" w:rsidP="00752DE4">
      <w:pPr>
        <w:pStyle w:val="tekstost"/>
        <w:numPr>
          <w:ilvl w:val="12"/>
          <w:numId w:val="0"/>
        </w:numPr>
        <w:spacing w:after="60"/>
      </w:pPr>
      <w:r>
        <w:t>(1) Dziennik budowy</w:t>
      </w:r>
    </w:p>
    <w:p w:rsidR="00752DE4" w:rsidRDefault="00752DE4" w:rsidP="00752DE4">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752DE4" w:rsidRDefault="00752DE4" w:rsidP="00752DE4">
      <w:pPr>
        <w:pStyle w:val="tekstost"/>
        <w:numPr>
          <w:ilvl w:val="12"/>
          <w:numId w:val="0"/>
        </w:numPr>
      </w:pPr>
      <w:r>
        <w:tab/>
        <w:t>Zapisy w dzienniku budowy będą dokonywane na bieżąco i będą dotyczyć przebiegu robót, stanu bezpieczeństwa ludzi i mienia oraz technicznej i gospodarczej strony budowy.</w:t>
      </w:r>
    </w:p>
    <w:p w:rsidR="00752DE4" w:rsidRDefault="00752DE4" w:rsidP="00752DE4">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752DE4" w:rsidRDefault="00752DE4" w:rsidP="00752DE4">
      <w:pPr>
        <w:pStyle w:val="tekstost"/>
        <w:numPr>
          <w:ilvl w:val="12"/>
          <w:numId w:val="0"/>
        </w:numPr>
      </w:pPr>
      <w:r>
        <w:tab/>
        <w:t>Załączone do dziennika budowy protokoły i inne dokumenty będą oznaczone kolejnym numerem załącznika i opatrzone datą i podpisem Wykonawcy i Inżyniera/Kierownika projektu.</w:t>
      </w:r>
    </w:p>
    <w:p w:rsidR="00752DE4" w:rsidRDefault="00752DE4" w:rsidP="00752DE4">
      <w:pPr>
        <w:pStyle w:val="tekstost"/>
        <w:numPr>
          <w:ilvl w:val="12"/>
          <w:numId w:val="0"/>
        </w:numPr>
      </w:pPr>
      <w:r>
        <w:tab/>
        <w:t>Do dziennika budowy należy wpisywać w szczególności:</w:t>
      </w:r>
    </w:p>
    <w:p w:rsidR="00752DE4" w:rsidRDefault="00752DE4" w:rsidP="00752DE4">
      <w:pPr>
        <w:pStyle w:val="tekstost"/>
        <w:numPr>
          <w:ilvl w:val="0"/>
          <w:numId w:val="5"/>
        </w:numPr>
      </w:pPr>
      <w:r>
        <w:t>datę przekazania Wykonawcy terenu budowy,</w:t>
      </w:r>
    </w:p>
    <w:p w:rsidR="00752DE4" w:rsidRDefault="00752DE4" w:rsidP="00752DE4">
      <w:pPr>
        <w:pStyle w:val="tekstost"/>
        <w:numPr>
          <w:ilvl w:val="0"/>
          <w:numId w:val="5"/>
        </w:numPr>
      </w:pPr>
      <w:r>
        <w:t>datę przekazania przez Zamawiającego dokumentacji projektowej,</w:t>
      </w:r>
    </w:p>
    <w:p w:rsidR="00752DE4" w:rsidRDefault="00752DE4" w:rsidP="00752DE4">
      <w:pPr>
        <w:pStyle w:val="tekstost"/>
        <w:numPr>
          <w:ilvl w:val="0"/>
          <w:numId w:val="5"/>
        </w:numPr>
      </w:pPr>
      <w:r>
        <w:t>datę uzgodnienia przez Inżyniera/Kierownika projektu programu zapewnienia jakości i harmonogramów robót,</w:t>
      </w:r>
    </w:p>
    <w:p w:rsidR="00752DE4" w:rsidRDefault="00752DE4" w:rsidP="00752DE4">
      <w:pPr>
        <w:pStyle w:val="tekstost"/>
        <w:numPr>
          <w:ilvl w:val="0"/>
          <w:numId w:val="5"/>
        </w:numPr>
      </w:pPr>
      <w:r>
        <w:t>terminy rozpoczęcia i zakończenia poszczególnych elementów robót,</w:t>
      </w:r>
    </w:p>
    <w:p w:rsidR="00752DE4" w:rsidRDefault="00752DE4" w:rsidP="00752DE4">
      <w:pPr>
        <w:pStyle w:val="tekstost"/>
        <w:numPr>
          <w:ilvl w:val="0"/>
          <w:numId w:val="5"/>
        </w:numPr>
      </w:pPr>
      <w:r>
        <w:t>przebieg robót, trudności i przeszkody w ich prowadzeniu, okresy i przyczyny przerw w robotach,</w:t>
      </w:r>
    </w:p>
    <w:p w:rsidR="00752DE4" w:rsidRDefault="00752DE4" w:rsidP="00752DE4">
      <w:pPr>
        <w:pStyle w:val="tekstost"/>
        <w:numPr>
          <w:ilvl w:val="0"/>
          <w:numId w:val="5"/>
        </w:numPr>
      </w:pPr>
      <w:r>
        <w:t>uwagi i polecenia Inżyniera/Kierownika projektu,</w:t>
      </w:r>
    </w:p>
    <w:p w:rsidR="00752DE4" w:rsidRDefault="00752DE4" w:rsidP="00752DE4">
      <w:pPr>
        <w:pStyle w:val="tekstost"/>
        <w:numPr>
          <w:ilvl w:val="0"/>
          <w:numId w:val="5"/>
        </w:numPr>
      </w:pPr>
      <w:r>
        <w:t>daty zarządzenia wstrzymania robót, z podaniem powodu,</w:t>
      </w:r>
    </w:p>
    <w:p w:rsidR="00752DE4" w:rsidRDefault="00752DE4" w:rsidP="00752DE4">
      <w:pPr>
        <w:pStyle w:val="tekstost"/>
        <w:numPr>
          <w:ilvl w:val="0"/>
          <w:numId w:val="5"/>
        </w:numPr>
      </w:pPr>
      <w:r>
        <w:t>zgłoszenia i daty odbiorów robót zanikających i ulegających zakryciu, częściowych i ostatecznych odbiorów robót,</w:t>
      </w:r>
    </w:p>
    <w:p w:rsidR="00752DE4" w:rsidRDefault="00752DE4" w:rsidP="00752DE4">
      <w:pPr>
        <w:pStyle w:val="tekstost"/>
        <w:numPr>
          <w:ilvl w:val="0"/>
          <w:numId w:val="5"/>
        </w:numPr>
      </w:pPr>
      <w:r>
        <w:t>wyjaśnienia, uwagi i propozycje Wykonawcy,</w:t>
      </w:r>
    </w:p>
    <w:p w:rsidR="00752DE4" w:rsidRDefault="00752DE4" w:rsidP="00752DE4">
      <w:pPr>
        <w:pStyle w:val="tekstost"/>
        <w:numPr>
          <w:ilvl w:val="0"/>
          <w:numId w:val="5"/>
        </w:numPr>
      </w:pPr>
      <w:r>
        <w:t>stan pogody i temperaturę powietrza w okresie wykonywania robót podlegających ograniczeniom lub wymaganiom szczególnym w związku z warunkami klimatycznymi,</w:t>
      </w:r>
    </w:p>
    <w:p w:rsidR="00752DE4" w:rsidRDefault="00752DE4" w:rsidP="00752DE4">
      <w:pPr>
        <w:pStyle w:val="tekstost"/>
        <w:numPr>
          <w:ilvl w:val="0"/>
          <w:numId w:val="5"/>
        </w:numPr>
      </w:pPr>
      <w:r>
        <w:t>zgodność rzeczywistych warunków geotechnicznych z ich opisem w dokumentacji projektowej,</w:t>
      </w:r>
    </w:p>
    <w:p w:rsidR="00752DE4" w:rsidRDefault="00752DE4" w:rsidP="00752DE4">
      <w:pPr>
        <w:pStyle w:val="tekstost"/>
        <w:numPr>
          <w:ilvl w:val="0"/>
          <w:numId w:val="5"/>
        </w:numPr>
      </w:pPr>
      <w:r>
        <w:t>dane dotyczące czynności geodezyjnych (pomiarowych) dokonywanych przed i w trakcie wykonywania robót,</w:t>
      </w:r>
    </w:p>
    <w:p w:rsidR="00752DE4" w:rsidRDefault="00752DE4" w:rsidP="00752DE4">
      <w:pPr>
        <w:pStyle w:val="tekstost"/>
        <w:numPr>
          <w:ilvl w:val="0"/>
          <w:numId w:val="5"/>
        </w:numPr>
      </w:pPr>
      <w:r>
        <w:t>dane dotyczące sposobu wykonywania zabezpieczenia robót,</w:t>
      </w:r>
    </w:p>
    <w:p w:rsidR="00752DE4" w:rsidRDefault="00752DE4" w:rsidP="00752DE4">
      <w:pPr>
        <w:pStyle w:val="tekstost"/>
        <w:numPr>
          <w:ilvl w:val="0"/>
          <w:numId w:val="5"/>
        </w:numPr>
      </w:pPr>
      <w:r>
        <w:t>dane dotyczące jakości materiałów, pobierania próbek oraz wyniki przeprowadzonych badań z podaniem, kto je przeprowadzał,</w:t>
      </w:r>
    </w:p>
    <w:p w:rsidR="00752DE4" w:rsidRDefault="00752DE4" w:rsidP="00752DE4">
      <w:pPr>
        <w:pStyle w:val="tekstost"/>
        <w:numPr>
          <w:ilvl w:val="0"/>
          <w:numId w:val="5"/>
        </w:numPr>
      </w:pPr>
      <w:r>
        <w:t>wyniki prób poszczególnych elementów budowli z podaniem, kto je przeprowadzał,</w:t>
      </w:r>
    </w:p>
    <w:p w:rsidR="00752DE4" w:rsidRDefault="00752DE4" w:rsidP="00752DE4">
      <w:pPr>
        <w:pStyle w:val="tekstost"/>
        <w:numPr>
          <w:ilvl w:val="0"/>
          <w:numId w:val="5"/>
        </w:numPr>
      </w:pPr>
      <w:r>
        <w:t>inne istotne informacje o przebiegu robót.</w:t>
      </w:r>
    </w:p>
    <w:p w:rsidR="00752DE4" w:rsidRDefault="00752DE4" w:rsidP="00752DE4">
      <w:pPr>
        <w:pStyle w:val="tekstost"/>
      </w:pPr>
      <w:r>
        <w:tab/>
        <w:t>Propozycje, uwagi i wyjaśnienia Wykonawcy, wpisane do dziennika budowy będą przedłożone Inżynierowi/Kierownikowi projektu do ustosunkowania się.</w:t>
      </w:r>
    </w:p>
    <w:p w:rsidR="00752DE4" w:rsidRDefault="00752DE4" w:rsidP="00752DE4">
      <w:pPr>
        <w:pStyle w:val="tekstost"/>
      </w:pPr>
      <w:r>
        <w:lastRenderedPageBreak/>
        <w:tab/>
        <w:t>Decyzje Inżyniera/Kierownika projektu wpisane do dziennika budowy Wykonawca podpisuje z zaznaczeniem ich przyjęcia lub zajęciem stanowiska.</w:t>
      </w:r>
    </w:p>
    <w:p w:rsidR="00752DE4" w:rsidRDefault="00752DE4" w:rsidP="00752DE4">
      <w:pPr>
        <w:pStyle w:val="tekstost"/>
        <w:spacing w:after="120"/>
      </w:pPr>
      <w:r>
        <w:tab/>
        <w:t>Wpis projektanta do dziennika budowy obliguje Inżyniera/Kierownika projektu do ustosunkowania się. Projektant nie jest jednak stroną umowy i nie ma uprawnień do wydawania poleceń Wykonawcy robót.</w:t>
      </w:r>
    </w:p>
    <w:p w:rsidR="00752DE4" w:rsidRDefault="00752DE4" w:rsidP="00752DE4">
      <w:pPr>
        <w:pStyle w:val="tekstost"/>
        <w:spacing w:after="120"/>
      </w:pPr>
      <w:r>
        <w:t>(2) Książka obmiarów</w:t>
      </w:r>
    </w:p>
    <w:p w:rsidR="00752DE4" w:rsidRDefault="00752DE4" w:rsidP="00752DE4">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752DE4" w:rsidRDefault="00752DE4" w:rsidP="00752DE4">
      <w:pPr>
        <w:pStyle w:val="tekstost"/>
        <w:keepNext/>
        <w:spacing w:after="120"/>
      </w:pPr>
      <w:r>
        <w:t>(3) Dokumenty laboratoryjne</w:t>
      </w:r>
    </w:p>
    <w:p w:rsidR="00752DE4" w:rsidRDefault="00752DE4" w:rsidP="00752DE4">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752DE4" w:rsidRDefault="00752DE4" w:rsidP="00752DE4">
      <w:pPr>
        <w:pStyle w:val="tekstost"/>
        <w:spacing w:after="120"/>
      </w:pPr>
      <w:r>
        <w:t>(4) Pozostałe dokumenty budowy</w:t>
      </w:r>
    </w:p>
    <w:p w:rsidR="00752DE4" w:rsidRDefault="00752DE4" w:rsidP="00752DE4">
      <w:pPr>
        <w:pStyle w:val="tekstost"/>
      </w:pPr>
      <w:r>
        <w:tab/>
        <w:t>Do dokumentów budowy zalicza się, oprócz wymienionych w punktach (1) - (3) następujące dokumenty:</w:t>
      </w:r>
    </w:p>
    <w:p w:rsidR="00752DE4" w:rsidRDefault="00752DE4" w:rsidP="00B4292E">
      <w:pPr>
        <w:pStyle w:val="tekstost"/>
        <w:numPr>
          <w:ilvl w:val="0"/>
          <w:numId w:val="44"/>
        </w:numPr>
        <w:ind w:left="288" w:hanging="288"/>
      </w:pPr>
      <w:r>
        <w:t>pozwolenie na realizację zadania budowlanego,</w:t>
      </w:r>
    </w:p>
    <w:p w:rsidR="00752DE4" w:rsidRDefault="00752DE4" w:rsidP="00B4292E">
      <w:pPr>
        <w:pStyle w:val="tekstost"/>
        <w:numPr>
          <w:ilvl w:val="0"/>
          <w:numId w:val="44"/>
        </w:numPr>
        <w:ind w:left="288" w:hanging="288"/>
      </w:pPr>
      <w:r>
        <w:t>protokoły przekazania terenu budowy,</w:t>
      </w:r>
    </w:p>
    <w:p w:rsidR="00752DE4" w:rsidRDefault="00752DE4" w:rsidP="00B4292E">
      <w:pPr>
        <w:pStyle w:val="tekstost"/>
        <w:numPr>
          <w:ilvl w:val="0"/>
          <w:numId w:val="44"/>
        </w:numPr>
        <w:ind w:left="288" w:hanging="288"/>
      </w:pPr>
      <w:r>
        <w:t>umowy cywilno-prawne z osobami trzecimi i inne umowy cywilno-prawne,</w:t>
      </w:r>
    </w:p>
    <w:p w:rsidR="00752DE4" w:rsidRDefault="00752DE4" w:rsidP="00B4292E">
      <w:pPr>
        <w:pStyle w:val="tekstost"/>
        <w:numPr>
          <w:ilvl w:val="0"/>
          <w:numId w:val="44"/>
        </w:numPr>
        <w:ind w:left="288" w:hanging="288"/>
      </w:pPr>
      <w:r>
        <w:t>protokoły odbioru robót,</w:t>
      </w:r>
    </w:p>
    <w:p w:rsidR="00752DE4" w:rsidRDefault="00752DE4" w:rsidP="00B4292E">
      <w:pPr>
        <w:pStyle w:val="tekstost"/>
        <w:numPr>
          <w:ilvl w:val="0"/>
          <w:numId w:val="44"/>
        </w:numPr>
        <w:ind w:left="288" w:hanging="288"/>
      </w:pPr>
      <w:r>
        <w:t>protokoły z narad i ustaleń,</w:t>
      </w:r>
    </w:p>
    <w:p w:rsidR="00752DE4" w:rsidRDefault="00752DE4" w:rsidP="00B4292E">
      <w:pPr>
        <w:pStyle w:val="tekstost"/>
        <w:numPr>
          <w:ilvl w:val="0"/>
          <w:numId w:val="44"/>
        </w:numPr>
        <w:ind w:left="288" w:hanging="288"/>
      </w:pPr>
      <w:r>
        <w:t>korespondencję na budowie.</w:t>
      </w:r>
    </w:p>
    <w:p w:rsidR="00752DE4" w:rsidRDefault="00752DE4" w:rsidP="00752DE4">
      <w:pPr>
        <w:pStyle w:val="tekstost"/>
        <w:spacing w:before="120" w:after="120"/>
      </w:pPr>
      <w:r>
        <w:t>(5) Przechowywanie dokumentów budowy</w:t>
      </w:r>
    </w:p>
    <w:p w:rsidR="00752DE4" w:rsidRDefault="00752DE4" w:rsidP="00752DE4">
      <w:pPr>
        <w:pStyle w:val="tekstost"/>
      </w:pPr>
      <w:r>
        <w:tab/>
        <w:t>Dokumenty budowy będą przechowywane na terenie budowy w miejscu odpowiednio zabezpieczonym.</w:t>
      </w:r>
    </w:p>
    <w:p w:rsidR="00752DE4" w:rsidRDefault="00752DE4" w:rsidP="00752DE4">
      <w:pPr>
        <w:pStyle w:val="tekstost"/>
      </w:pPr>
      <w:r>
        <w:tab/>
        <w:t>Zaginięcie któregokolwiek z dokumentów budowy spowoduje jego natychmiastowe odtworzenie w formie przewidzianej prawem.</w:t>
      </w:r>
    </w:p>
    <w:p w:rsidR="00752DE4" w:rsidRDefault="00752DE4" w:rsidP="00752DE4">
      <w:pPr>
        <w:pStyle w:val="tekstost"/>
      </w:pPr>
      <w:r>
        <w:tab/>
        <w:t>Wszelkie dokumenty budowy będą zawsze dostępne dla Inżyniera/Kierownika projektu i przedstawiane do wglądu na życzenie Zamawiającego.</w:t>
      </w:r>
    </w:p>
    <w:p w:rsidR="00752DE4" w:rsidRDefault="00752DE4" w:rsidP="00752DE4">
      <w:pPr>
        <w:pStyle w:val="Nagwek1"/>
      </w:pPr>
      <w:bookmarkStart w:id="18" w:name="_Toc416830704"/>
      <w:bookmarkStart w:id="19" w:name="_Toc6881285"/>
      <w:bookmarkStart w:id="20" w:name="_Toc9229979"/>
      <w:r>
        <w:t>7. obmiar robót</w:t>
      </w:r>
      <w:bookmarkEnd w:id="18"/>
      <w:bookmarkEnd w:id="19"/>
      <w:bookmarkEnd w:id="20"/>
    </w:p>
    <w:p w:rsidR="00752DE4" w:rsidRDefault="00752DE4" w:rsidP="00752DE4">
      <w:pPr>
        <w:pStyle w:val="Nagwek2"/>
      </w:pPr>
      <w:r>
        <w:t>7.1. Ogólne zasady obmiaru robót</w:t>
      </w:r>
    </w:p>
    <w:p w:rsidR="00752DE4" w:rsidRDefault="00752DE4" w:rsidP="00752DE4">
      <w:pPr>
        <w:pStyle w:val="tekstost"/>
      </w:pPr>
      <w:r>
        <w:tab/>
        <w:t>Obmiar robót będzie określać faktyczny zakres wykonywanych robót zgodnie z dokumentacją projektową i SST, w jednostkach ustalonych w kosztorysie.</w:t>
      </w:r>
    </w:p>
    <w:p w:rsidR="00752DE4" w:rsidRDefault="00752DE4" w:rsidP="00752DE4">
      <w:pPr>
        <w:pStyle w:val="tekstost"/>
      </w:pPr>
      <w:r>
        <w:tab/>
        <w:t>Obmiaru robót dokonuje Wykonawca po pisemnym powiadomieniu Inżyniera/Kierownika projektu o zakresie obmierzanych robót i terminie obmiaru, co najmniej na 3 dni przed tym terminem.</w:t>
      </w:r>
    </w:p>
    <w:p w:rsidR="00752DE4" w:rsidRDefault="00752DE4" w:rsidP="00752DE4">
      <w:pPr>
        <w:pStyle w:val="tekstost"/>
      </w:pPr>
      <w:r>
        <w:tab/>
        <w:t>Wyniki obmiaru będą wpisane do książki obmiarów.</w:t>
      </w:r>
    </w:p>
    <w:p w:rsidR="00752DE4" w:rsidRDefault="00752DE4" w:rsidP="00752DE4">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752DE4" w:rsidRDefault="00752DE4" w:rsidP="00752DE4">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752DE4" w:rsidRDefault="00752DE4" w:rsidP="00752DE4">
      <w:pPr>
        <w:pStyle w:val="Nagwek2"/>
      </w:pPr>
      <w:r>
        <w:t>7.2. Zasady określania ilości robót i materiałów</w:t>
      </w:r>
    </w:p>
    <w:p w:rsidR="00752DE4" w:rsidRDefault="00752DE4" w:rsidP="00752DE4">
      <w:pPr>
        <w:pStyle w:val="tekstost"/>
      </w:pPr>
      <w:r>
        <w:tab/>
        <w:t>Długości i odległości pomiędzy wyszczególnionymi punktami skrajnymi będą obmierzone poziomo wzdłuż linii osiowej.</w:t>
      </w:r>
    </w:p>
    <w:p w:rsidR="00752DE4" w:rsidRDefault="00752DE4" w:rsidP="00752DE4">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752DE4" w:rsidRDefault="00752DE4" w:rsidP="00752DE4">
      <w:pPr>
        <w:pStyle w:val="tekstost"/>
      </w:pPr>
      <w:r>
        <w:tab/>
        <w:t>Ilości, które mają być obmierzone wagowo, będą ważone w tonach lub kilogramach zgodnie z wymaganiami SST.</w:t>
      </w:r>
    </w:p>
    <w:p w:rsidR="00752DE4" w:rsidRDefault="00752DE4" w:rsidP="00752DE4">
      <w:pPr>
        <w:pStyle w:val="Nagwek2"/>
      </w:pPr>
      <w:r>
        <w:t>7.3. Urządzenia i sprzęt pomiarowy</w:t>
      </w:r>
    </w:p>
    <w:p w:rsidR="00752DE4" w:rsidRDefault="00752DE4" w:rsidP="00752DE4">
      <w:pPr>
        <w:pStyle w:val="tekstost"/>
      </w:pPr>
      <w:r>
        <w:tab/>
        <w:t>Wszystkie urządzenia i sprzęt pomiarowy, stosowany w czasie obmiaru robót będą zaakceptowane przez Inżyniera/Kierownika projektu.</w:t>
      </w:r>
    </w:p>
    <w:p w:rsidR="00752DE4" w:rsidRDefault="00752DE4" w:rsidP="00752DE4">
      <w:pPr>
        <w:pStyle w:val="tekstost"/>
      </w:pPr>
      <w:r>
        <w:tab/>
        <w:t>Urządzenia i sprzęt pomiarowy zostaną dostarczone przez Wykonawcę. Jeżeli urządzenia te lub sprzęt wymagają badań atestujących to Wykonawca będzie posiadać ważne świadectwa legalizacji.</w:t>
      </w:r>
    </w:p>
    <w:p w:rsidR="00752DE4" w:rsidRDefault="00752DE4" w:rsidP="00752DE4">
      <w:pPr>
        <w:pStyle w:val="tekstost"/>
      </w:pPr>
      <w:r>
        <w:lastRenderedPageBreak/>
        <w:tab/>
        <w:t>Wszystkie urządzenia pomiarowe będą przez Wykonawcę utrzymywane w dobrym stanie, w całym okresie trwania robót.</w:t>
      </w:r>
    </w:p>
    <w:p w:rsidR="00752DE4" w:rsidRDefault="00752DE4" w:rsidP="00752DE4">
      <w:pPr>
        <w:pStyle w:val="Nagwek2"/>
      </w:pPr>
      <w:r>
        <w:t>7.4. Wagi i zasady ważenia</w:t>
      </w:r>
    </w:p>
    <w:p w:rsidR="00752DE4" w:rsidRDefault="00752DE4" w:rsidP="00752DE4">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752DE4" w:rsidRDefault="00752DE4" w:rsidP="00752DE4">
      <w:pPr>
        <w:pStyle w:val="Nagwek2"/>
      </w:pPr>
      <w:r>
        <w:t>7.5. Czas przeprowadzenia obmiaru</w:t>
      </w:r>
    </w:p>
    <w:p w:rsidR="00752DE4" w:rsidRDefault="00752DE4" w:rsidP="00752DE4">
      <w:pPr>
        <w:pStyle w:val="tekstost"/>
      </w:pPr>
      <w:r>
        <w:tab/>
        <w:t>Obmiary będą przeprowadzone przed częściowym lub ostatecznym odbiorem odcinków robót, a także w przypadku występowania dłuższej przerwy w robotach.</w:t>
      </w:r>
    </w:p>
    <w:p w:rsidR="00752DE4" w:rsidRDefault="00752DE4" w:rsidP="00752DE4">
      <w:pPr>
        <w:pStyle w:val="tekstost"/>
      </w:pPr>
      <w:r>
        <w:tab/>
        <w:t>Obmiar robót zanikających przeprowadza się w czasie ich wykonywania.</w:t>
      </w:r>
    </w:p>
    <w:p w:rsidR="00752DE4" w:rsidRDefault="00752DE4" w:rsidP="00752DE4">
      <w:pPr>
        <w:pStyle w:val="tekstost"/>
      </w:pPr>
      <w:r>
        <w:tab/>
        <w:t>Obmiar robót podlegających zakryciu przeprowadza się przed ich zakryciem.</w:t>
      </w:r>
    </w:p>
    <w:p w:rsidR="00752DE4" w:rsidRDefault="00752DE4" w:rsidP="00752DE4">
      <w:pPr>
        <w:pStyle w:val="tekstost"/>
      </w:pPr>
      <w:r>
        <w:tab/>
        <w:t>Roboty pomiarowe do obmiaru oraz nieodzowne obliczenia będą wykonane w sposób zrozumiały i jednoznaczny.</w:t>
      </w:r>
    </w:p>
    <w:p w:rsidR="00752DE4" w:rsidRDefault="00752DE4" w:rsidP="00752DE4">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752DE4" w:rsidRDefault="00752DE4" w:rsidP="00752DE4">
      <w:pPr>
        <w:pStyle w:val="Nagwek1"/>
      </w:pPr>
      <w:bookmarkStart w:id="21" w:name="_Toc416830705"/>
      <w:bookmarkStart w:id="22" w:name="_Toc6881286"/>
      <w:bookmarkStart w:id="23" w:name="_Toc9229980"/>
      <w:r>
        <w:t>8. odbiór robót</w:t>
      </w:r>
      <w:bookmarkEnd w:id="21"/>
      <w:bookmarkEnd w:id="22"/>
      <w:bookmarkEnd w:id="23"/>
    </w:p>
    <w:p w:rsidR="00752DE4" w:rsidRDefault="00752DE4" w:rsidP="00752DE4">
      <w:pPr>
        <w:pStyle w:val="Nagwek2"/>
      </w:pPr>
      <w:r>
        <w:t>8.1. Rodzaje odbiorów robót</w:t>
      </w:r>
    </w:p>
    <w:p w:rsidR="00752DE4" w:rsidRDefault="00752DE4" w:rsidP="00752DE4">
      <w:pPr>
        <w:pStyle w:val="tekstost"/>
      </w:pPr>
      <w:r>
        <w:tab/>
        <w:t>W zależności od ustaleń odpowiednich SST, roboty podlegają następującym etapom odbioru:</w:t>
      </w:r>
    </w:p>
    <w:p w:rsidR="00752DE4" w:rsidRDefault="00752DE4" w:rsidP="00B4292E">
      <w:pPr>
        <w:pStyle w:val="tekstost"/>
        <w:numPr>
          <w:ilvl w:val="0"/>
          <w:numId w:val="45"/>
        </w:numPr>
      </w:pPr>
      <w:r>
        <w:t>odbiorowi robót zanikających i ulegających zakryciu,</w:t>
      </w:r>
    </w:p>
    <w:p w:rsidR="00752DE4" w:rsidRDefault="00752DE4" w:rsidP="00B4292E">
      <w:pPr>
        <w:pStyle w:val="tekstost"/>
        <w:numPr>
          <w:ilvl w:val="0"/>
          <w:numId w:val="45"/>
        </w:numPr>
      </w:pPr>
      <w:r>
        <w:t>odbiorowi częściowemu,</w:t>
      </w:r>
    </w:p>
    <w:p w:rsidR="00752DE4" w:rsidRDefault="00752DE4" w:rsidP="00B4292E">
      <w:pPr>
        <w:pStyle w:val="tekstost"/>
        <w:numPr>
          <w:ilvl w:val="0"/>
          <w:numId w:val="45"/>
        </w:numPr>
      </w:pPr>
      <w:r>
        <w:t>odbiorowi ostatecznemu,</w:t>
      </w:r>
    </w:p>
    <w:p w:rsidR="00752DE4" w:rsidRDefault="00752DE4" w:rsidP="00B4292E">
      <w:pPr>
        <w:pStyle w:val="tekstost"/>
        <w:numPr>
          <w:ilvl w:val="0"/>
          <w:numId w:val="45"/>
        </w:numPr>
      </w:pPr>
      <w:r>
        <w:t>odbiorowi pogwarancyjnemu.</w:t>
      </w:r>
    </w:p>
    <w:p w:rsidR="00752DE4" w:rsidRDefault="00752DE4" w:rsidP="00752DE4">
      <w:pPr>
        <w:pStyle w:val="Nagwek2"/>
      </w:pPr>
      <w:r>
        <w:t>8.2. Odbiór robót zanikających i ulegających zakryciu</w:t>
      </w:r>
    </w:p>
    <w:p w:rsidR="00752DE4" w:rsidRDefault="00752DE4" w:rsidP="00752DE4">
      <w:pPr>
        <w:pStyle w:val="tekstost"/>
      </w:pPr>
      <w:r>
        <w:tab/>
        <w:t>Odbiór robót zanikających i ulegających zakryciu polega na finalnej ocenie ilości i jakości wykonywanych robót, które w dalszym procesie realizacji ulegną zakryciu.</w:t>
      </w:r>
    </w:p>
    <w:p w:rsidR="00752DE4" w:rsidRDefault="00752DE4" w:rsidP="00752DE4">
      <w:pPr>
        <w:pStyle w:val="tekstost"/>
      </w:pPr>
      <w:r>
        <w:tab/>
        <w:t>Odbiór robót zanikających i ulegających zakryciu będzie dokonany w czasie umożliwiającym wykonanie ewentualnych korekt i poprawek bez hamowania ogólnego postępu robót.</w:t>
      </w:r>
    </w:p>
    <w:p w:rsidR="00752DE4" w:rsidRDefault="00752DE4" w:rsidP="00752DE4">
      <w:pPr>
        <w:pStyle w:val="tekstost"/>
      </w:pPr>
      <w:r>
        <w:tab/>
        <w:t>Odbioru robót dokonuje Inżynier/Kierownik projektu.</w:t>
      </w:r>
    </w:p>
    <w:p w:rsidR="00752DE4" w:rsidRDefault="00752DE4" w:rsidP="00752DE4">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752DE4" w:rsidRDefault="00752DE4" w:rsidP="00752DE4">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752DE4" w:rsidRDefault="00752DE4" w:rsidP="00752DE4">
      <w:pPr>
        <w:pStyle w:val="Nagwek2"/>
      </w:pPr>
      <w:r>
        <w:t>8.3. Odbiór częściowy</w:t>
      </w:r>
    </w:p>
    <w:p w:rsidR="00752DE4" w:rsidRDefault="00752DE4" w:rsidP="00752DE4">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752DE4" w:rsidRDefault="00752DE4" w:rsidP="00752DE4">
      <w:pPr>
        <w:pStyle w:val="Nagwek2"/>
      </w:pPr>
      <w:r>
        <w:t>8.4. Odbiór ostateczny robót</w:t>
      </w:r>
    </w:p>
    <w:p w:rsidR="00752DE4" w:rsidRDefault="00752DE4" w:rsidP="00752DE4">
      <w:pPr>
        <w:spacing w:after="60"/>
      </w:pPr>
      <w:r>
        <w:rPr>
          <w:b/>
        </w:rPr>
        <w:t>8.4.1.</w:t>
      </w:r>
      <w:r>
        <w:t xml:space="preserve"> Zasady odbioru ostatecznego robót</w:t>
      </w:r>
    </w:p>
    <w:p w:rsidR="00752DE4" w:rsidRDefault="00752DE4" w:rsidP="00752DE4">
      <w:r>
        <w:tab/>
        <w:t>Odbiór ostateczny polega na finalnej ocenie rzeczywistego wykonania robót w odniesieniu do ich ilości, jakości i wartości.</w:t>
      </w:r>
    </w:p>
    <w:p w:rsidR="00752DE4" w:rsidRDefault="00752DE4" w:rsidP="00752DE4">
      <w:r>
        <w:tab/>
        <w:t>Całkowite zakończenie robót oraz gotowość do odbioru ostatecznego będzie stwierdzona przez Wykonawcę wpisem do dziennika budowy z bezzwłocznym powiadomieniem na piśmie o tym fakcie Inżyniera/Kierownika projektu.</w:t>
      </w:r>
    </w:p>
    <w:p w:rsidR="00752DE4" w:rsidRDefault="00752DE4" w:rsidP="00752DE4">
      <w:r>
        <w:lastRenderedPageBreak/>
        <w:tab/>
        <w:t>Odbiór ostateczny robót nastąpi w terminie ustalonym w dokumentach umowy, licząc od dnia potwierdzenia przez Inżyniera/Kierownika projektu zakończenia robót i przyjęcia dokumentów, o których mowa w punkcie 8.4.2.</w:t>
      </w:r>
    </w:p>
    <w:p w:rsidR="00752DE4" w:rsidRDefault="00752DE4" w:rsidP="00752DE4">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752DE4" w:rsidRDefault="00752DE4" w:rsidP="00752DE4">
      <w:r>
        <w:tab/>
        <w:t>W toku odbioru ostatecznego robót komisja zapozna się z realizacją ustaleń przyjętych w trakcie odbiorów robót zanikających i ulegających zakryciu, zwłaszcza w zakresie wykonania robót uzupełniających i robót poprawkowych.</w:t>
      </w:r>
    </w:p>
    <w:p w:rsidR="00752DE4" w:rsidRDefault="00752DE4" w:rsidP="00752DE4">
      <w:r>
        <w:tab/>
        <w:t>W przypadkach niewykonania wyznaczonych robót poprawkowych lub robót uzupełniających w warstwie ścieralnej lub robotach wykończeniowych, komisja przerwie swoje czynności i ustali nowy termin odbioru ostatecznego.</w:t>
      </w:r>
    </w:p>
    <w:p w:rsidR="00752DE4" w:rsidRDefault="00752DE4" w:rsidP="00752DE4">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752DE4" w:rsidRDefault="00752DE4" w:rsidP="00752DE4">
      <w:pPr>
        <w:pStyle w:val="Nagwek3"/>
      </w:pPr>
      <w:bookmarkStart w:id="24" w:name="_Toc412518599"/>
      <w:r>
        <w:rPr>
          <w:b/>
        </w:rPr>
        <w:t>8.4.2.</w:t>
      </w:r>
      <w:r>
        <w:t xml:space="preserve"> Dokumenty do odbioru ostatecznego</w:t>
      </w:r>
      <w:bookmarkEnd w:id="24"/>
    </w:p>
    <w:p w:rsidR="00752DE4" w:rsidRDefault="00752DE4" w:rsidP="00752DE4">
      <w:r>
        <w:tab/>
        <w:t>Podstawowym dokumentem do dokonania odbioru ostatecznego robót jest protokół odbioru ostatecznego robót sporządzony wg wzoru ustalonego przez Zamawiającego.</w:t>
      </w:r>
    </w:p>
    <w:p w:rsidR="00752DE4" w:rsidRDefault="00752DE4" w:rsidP="00752DE4">
      <w:r>
        <w:tab/>
        <w:t>Do odbioru ostatecznego Wykonawca jest zobowiązany przygotować następujące dokumenty:</w:t>
      </w:r>
    </w:p>
    <w:p w:rsidR="00752DE4" w:rsidRDefault="00752DE4" w:rsidP="00B4292E">
      <w:pPr>
        <w:numPr>
          <w:ilvl w:val="0"/>
          <w:numId w:val="46"/>
        </w:numPr>
        <w:overflowPunct w:val="0"/>
        <w:autoSpaceDE w:val="0"/>
        <w:autoSpaceDN w:val="0"/>
        <w:adjustRightInd w:val="0"/>
        <w:spacing w:after="0" w:line="240" w:lineRule="auto"/>
        <w:jc w:val="both"/>
      </w:pPr>
      <w:r>
        <w:t>dokumentację projektową podstawową z naniesionymi zmianami oraz dodatkową, jeśli została sporządzona w trakcie realizacji umowy,</w:t>
      </w:r>
    </w:p>
    <w:p w:rsidR="00752DE4" w:rsidRDefault="00752DE4" w:rsidP="00B4292E">
      <w:pPr>
        <w:numPr>
          <w:ilvl w:val="0"/>
          <w:numId w:val="46"/>
        </w:numPr>
        <w:overflowPunct w:val="0"/>
        <w:autoSpaceDE w:val="0"/>
        <w:autoSpaceDN w:val="0"/>
        <w:adjustRightInd w:val="0"/>
        <w:spacing w:after="0" w:line="240" w:lineRule="auto"/>
        <w:jc w:val="both"/>
      </w:pPr>
      <w:r>
        <w:t>szczegółowe specyfikacje techniczne (podstawowe z dokumentów umowy i ew. uzupełniające lub zamienne),</w:t>
      </w:r>
    </w:p>
    <w:p w:rsidR="00752DE4" w:rsidRDefault="00752DE4" w:rsidP="00B4292E">
      <w:pPr>
        <w:numPr>
          <w:ilvl w:val="0"/>
          <w:numId w:val="46"/>
        </w:numPr>
        <w:overflowPunct w:val="0"/>
        <w:autoSpaceDE w:val="0"/>
        <w:autoSpaceDN w:val="0"/>
        <w:adjustRightInd w:val="0"/>
        <w:spacing w:after="0" w:line="240" w:lineRule="auto"/>
        <w:jc w:val="both"/>
      </w:pPr>
      <w:r>
        <w:t>recepty i ustalenia technologiczne,</w:t>
      </w:r>
    </w:p>
    <w:p w:rsidR="00752DE4" w:rsidRDefault="00752DE4" w:rsidP="00B4292E">
      <w:pPr>
        <w:numPr>
          <w:ilvl w:val="0"/>
          <w:numId w:val="46"/>
        </w:numPr>
        <w:overflowPunct w:val="0"/>
        <w:autoSpaceDE w:val="0"/>
        <w:autoSpaceDN w:val="0"/>
        <w:adjustRightInd w:val="0"/>
        <w:spacing w:after="0" w:line="240" w:lineRule="auto"/>
        <w:jc w:val="both"/>
      </w:pPr>
      <w:r>
        <w:t>dzienniki budowy i książki obmiarów (oryginały),</w:t>
      </w:r>
    </w:p>
    <w:p w:rsidR="00752DE4" w:rsidRDefault="00752DE4" w:rsidP="00B4292E">
      <w:pPr>
        <w:numPr>
          <w:ilvl w:val="0"/>
          <w:numId w:val="46"/>
        </w:numPr>
        <w:overflowPunct w:val="0"/>
        <w:autoSpaceDE w:val="0"/>
        <w:autoSpaceDN w:val="0"/>
        <w:adjustRightInd w:val="0"/>
        <w:spacing w:after="0" w:line="240" w:lineRule="auto"/>
        <w:jc w:val="both"/>
      </w:pPr>
      <w:r>
        <w:t>wyniki pomiarów kontrolnych oraz badań i oznaczeń laboratoryjnych, zgodne z SST i ew. PZJ,</w:t>
      </w:r>
    </w:p>
    <w:p w:rsidR="00752DE4" w:rsidRDefault="00752DE4" w:rsidP="00B4292E">
      <w:pPr>
        <w:numPr>
          <w:ilvl w:val="0"/>
          <w:numId w:val="46"/>
        </w:numPr>
        <w:overflowPunct w:val="0"/>
        <w:autoSpaceDE w:val="0"/>
        <w:autoSpaceDN w:val="0"/>
        <w:adjustRightInd w:val="0"/>
        <w:spacing w:after="0" w:line="240" w:lineRule="auto"/>
        <w:jc w:val="both"/>
      </w:pPr>
      <w:r>
        <w:t>deklaracje zgodności lub certyfikaty zgodności wbudowanych materiałów zgodnie z SST i ew. PZJ,</w:t>
      </w:r>
    </w:p>
    <w:p w:rsidR="00752DE4" w:rsidRDefault="00752DE4" w:rsidP="00B4292E">
      <w:pPr>
        <w:numPr>
          <w:ilvl w:val="0"/>
          <w:numId w:val="46"/>
        </w:numPr>
        <w:overflowPunct w:val="0"/>
        <w:autoSpaceDE w:val="0"/>
        <w:autoSpaceDN w:val="0"/>
        <w:adjustRightInd w:val="0"/>
        <w:spacing w:after="0" w:line="240" w:lineRule="auto"/>
        <w:jc w:val="both"/>
      </w:pPr>
      <w:r>
        <w:t>opinię technologiczną sporządzoną na podstawie wszystkich wyników badań i pomiarów załączonych do dokumentów odbioru, wykonanych zgodnie z SST i PZJ,</w:t>
      </w:r>
    </w:p>
    <w:p w:rsidR="00752DE4" w:rsidRDefault="00752DE4" w:rsidP="00B4292E">
      <w:pPr>
        <w:numPr>
          <w:ilvl w:val="0"/>
          <w:numId w:val="46"/>
        </w:numPr>
        <w:overflowPunct w:val="0"/>
        <w:autoSpaceDE w:val="0"/>
        <w:autoSpaceDN w:val="0"/>
        <w:adjustRightInd w:val="0"/>
        <w:spacing w:after="0" w:line="240" w:lineRule="auto"/>
        <w:jc w:val="both"/>
      </w:pPr>
      <w:r>
        <w:t>rysunki (dokumentacje) na wykonanie robót towarzyszących (np. na przełożenie linii telefonicznej, energetycznej, gazowej, oświetlenia itp.) oraz protokoły odbioru i przekazania tych robót właścicielom urządzeń,</w:t>
      </w:r>
    </w:p>
    <w:p w:rsidR="00752DE4" w:rsidRDefault="00752DE4" w:rsidP="00B4292E">
      <w:pPr>
        <w:numPr>
          <w:ilvl w:val="0"/>
          <w:numId w:val="46"/>
        </w:numPr>
        <w:overflowPunct w:val="0"/>
        <w:autoSpaceDE w:val="0"/>
        <w:autoSpaceDN w:val="0"/>
        <w:adjustRightInd w:val="0"/>
        <w:spacing w:after="0" w:line="240" w:lineRule="auto"/>
        <w:jc w:val="both"/>
      </w:pPr>
      <w:r>
        <w:t>geodezyjną inwentaryzację powykonawczą robót i sieci uzbrojenia terenu,</w:t>
      </w:r>
    </w:p>
    <w:p w:rsidR="00752DE4" w:rsidRDefault="00752DE4" w:rsidP="00B4292E">
      <w:pPr>
        <w:numPr>
          <w:ilvl w:val="0"/>
          <w:numId w:val="46"/>
        </w:numPr>
        <w:overflowPunct w:val="0"/>
        <w:autoSpaceDE w:val="0"/>
        <w:autoSpaceDN w:val="0"/>
        <w:adjustRightInd w:val="0"/>
        <w:spacing w:after="0" w:line="240" w:lineRule="auto"/>
        <w:jc w:val="both"/>
      </w:pPr>
      <w:r>
        <w:t>kopię mapy zasadniczej powstałej w wyniku geodezyjnej inwentaryzacji powykonawczej.</w:t>
      </w:r>
    </w:p>
    <w:p w:rsidR="00752DE4" w:rsidRDefault="00752DE4" w:rsidP="00752DE4">
      <w:r>
        <w:tab/>
        <w:t>W przypadku, gdy wg komisji, roboty pod względem przygotowania dokumentacyjnego nie będą gotowe do odbioru ostatecznego, komisja w porozumieniu z Wykonawcą wyznaczy ponowny termin odbioru ostatecznego robót.</w:t>
      </w:r>
    </w:p>
    <w:p w:rsidR="00752DE4" w:rsidRDefault="00752DE4" w:rsidP="00752DE4">
      <w:r>
        <w:tab/>
        <w:t>Wszystkie zarządzone przez komisję roboty poprawkowe lub uzupełniające będą zestawione wg wzoru ustalonego przez Zamawiającego.</w:t>
      </w:r>
    </w:p>
    <w:p w:rsidR="00752DE4" w:rsidRDefault="00752DE4" w:rsidP="00752DE4">
      <w:r>
        <w:tab/>
        <w:t>Termin wykonania robót poprawkowych i robót uzupełniających wyznaczy komisja.</w:t>
      </w:r>
    </w:p>
    <w:p w:rsidR="00752DE4" w:rsidRDefault="00752DE4" w:rsidP="00752DE4">
      <w:pPr>
        <w:pStyle w:val="Nagwek2"/>
      </w:pPr>
      <w:r>
        <w:lastRenderedPageBreak/>
        <w:t>8.5. Odbiór pogwarancyjny</w:t>
      </w:r>
    </w:p>
    <w:p w:rsidR="00752DE4" w:rsidRDefault="00752DE4" w:rsidP="00752DE4">
      <w:pPr>
        <w:pStyle w:val="tekstost"/>
      </w:pPr>
      <w:r>
        <w:tab/>
        <w:t>Odbiór pogwarancyjny polega na ocenie wykonanych robót związanych z usunięciem wad stwierdzonych przy odbiorze ostatecznym i zaistniałych w okresie gwarancyjnym.</w:t>
      </w:r>
    </w:p>
    <w:p w:rsidR="00752DE4" w:rsidRDefault="00752DE4" w:rsidP="00752DE4">
      <w:r>
        <w:tab/>
        <w:t>Odbiór pogwarancyjny będzie dokonany na podstawie oceny wizualnej obiektu z uwzględnieniem zasad opisanych w punkcie 8.4 „Odbiór ostateczny robót”.</w:t>
      </w:r>
    </w:p>
    <w:p w:rsidR="00752DE4" w:rsidRDefault="00752DE4" w:rsidP="00752DE4">
      <w:pPr>
        <w:pStyle w:val="Nagwek1"/>
      </w:pPr>
      <w:bookmarkStart w:id="25" w:name="_Toc416830706"/>
      <w:bookmarkStart w:id="26" w:name="_Toc6881287"/>
      <w:bookmarkStart w:id="27" w:name="_Toc9229981"/>
      <w:r>
        <w:t>9. podstawa płatności</w:t>
      </w:r>
      <w:bookmarkEnd w:id="25"/>
      <w:bookmarkEnd w:id="26"/>
      <w:bookmarkEnd w:id="27"/>
    </w:p>
    <w:p w:rsidR="00752DE4" w:rsidRDefault="00752DE4" w:rsidP="00752DE4">
      <w:pPr>
        <w:pStyle w:val="Nagwek2"/>
      </w:pPr>
      <w:r>
        <w:t>9.1. Ustalenia ogólne</w:t>
      </w:r>
    </w:p>
    <w:p w:rsidR="00752DE4" w:rsidRDefault="00752DE4" w:rsidP="00752DE4">
      <w:pPr>
        <w:pStyle w:val="tekstost"/>
      </w:pPr>
      <w:r>
        <w:tab/>
        <w:t>Podstawą płatności jest cena jednostkowa skalkulowana przez Wykonawcę za jednostkę obmiarową ustaloną dla danej pozycji kosztorysu.</w:t>
      </w:r>
    </w:p>
    <w:p w:rsidR="00752DE4" w:rsidRDefault="00752DE4" w:rsidP="00752DE4">
      <w:pPr>
        <w:pStyle w:val="tekstost"/>
      </w:pPr>
      <w:r>
        <w:tab/>
        <w:t>Dla pozycji kosztorysowych wycenionych ryczałtowo podstawą płatności jest wartość (kwota) podana przez Wykonawcę w danej pozycji kosztorysu.</w:t>
      </w:r>
    </w:p>
    <w:p w:rsidR="00752DE4" w:rsidRDefault="00752DE4" w:rsidP="00752DE4">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752DE4" w:rsidRDefault="00752DE4" w:rsidP="00752DE4">
      <w:pPr>
        <w:pStyle w:val="tekstost"/>
      </w:pPr>
      <w:r>
        <w:tab/>
        <w:t>Ceny jednostkowe lub kwoty ryczałtowe robót będą obejmować:</w:t>
      </w:r>
    </w:p>
    <w:p w:rsidR="00752DE4" w:rsidRDefault="00752DE4" w:rsidP="00752DE4">
      <w:pPr>
        <w:pStyle w:val="tekstost"/>
        <w:numPr>
          <w:ilvl w:val="0"/>
          <w:numId w:val="5"/>
        </w:numPr>
      </w:pPr>
      <w:r>
        <w:t>robociznę bezpośrednią wraz z towarzyszącymi kosztami,</w:t>
      </w:r>
    </w:p>
    <w:p w:rsidR="00752DE4" w:rsidRDefault="00752DE4" w:rsidP="00752DE4">
      <w:pPr>
        <w:pStyle w:val="tekstost"/>
        <w:numPr>
          <w:ilvl w:val="0"/>
          <w:numId w:val="5"/>
        </w:numPr>
      </w:pPr>
      <w:r>
        <w:t>wartość zużytych materiałów wraz z kosztami zakupu, magazynowania, ewentualnych ubytków i transportu na teren budowy,</w:t>
      </w:r>
    </w:p>
    <w:p w:rsidR="00752DE4" w:rsidRDefault="00752DE4" w:rsidP="00752DE4">
      <w:pPr>
        <w:pStyle w:val="tekstost"/>
        <w:numPr>
          <w:ilvl w:val="0"/>
          <w:numId w:val="5"/>
        </w:numPr>
      </w:pPr>
      <w:r>
        <w:t>wartość pracy sprzętu wraz z towarzyszącymi kosztami,</w:t>
      </w:r>
    </w:p>
    <w:p w:rsidR="00752DE4" w:rsidRDefault="00752DE4" w:rsidP="00752DE4">
      <w:pPr>
        <w:pStyle w:val="tekstost"/>
        <w:numPr>
          <w:ilvl w:val="0"/>
          <w:numId w:val="5"/>
        </w:numPr>
      </w:pPr>
      <w:r>
        <w:t>koszty pośrednie, zysk kalkulacyjny i ryzyko,</w:t>
      </w:r>
    </w:p>
    <w:p w:rsidR="00752DE4" w:rsidRDefault="00752DE4" w:rsidP="00752DE4">
      <w:pPr>
        <w:pStyle w:val="tekstost"/>
        <w:numPr>
          <w:ilvl w:val="0"/>
          <w:numId w:val="5"/>
        </w:numPr>
      </w:pPr>
      <w:r>
        <w:t>podatki obliczone zgodnie z obowiązującymi przepisami.</w:t>
      </w:r>
    </w:p>
    <w:p w:rsidR="00752DE4" w:rsidRDefault="00752DE4" w:rsidP="00752DE4">
      <w:pPr>
        <w:pStyle w:val="tekstost"/>
      </w:pPr>
      <w:r>
        <w:tab/>
        <w:t>Do cen jednostkowych nie należy wliczać podatku VAT.</w:t>
      </w:r>
    </w:p>
    <w:p w:rsidR="00752DE4" w:rsidRDefault="00752DE4" w:rsidP="00752DE4">
      <w:pPr>
        <w:pStyle w:val="Nagwek2"/>
      </w:pPr>
      <w:r>
        <w:t>9.2. Warunki umowy i wymagania ogólne D-M-00.00.00</w:t>
      </w:r>
    </w:p>
    <w:p w:rsidR="00752DE4" w:rsidRDefault="00752DE4" w:rsidP="00752DE4">
      <w:pPr>
        <w:pStyle w:val="tekstost"/>
      </w:pPr>
      <w:r>
        <w:tab/>
        <w:t>Koszt dostosowania się do wymagań warunków umowy i wymagań ogólnych zawartych w D-M-00.00.00 obejmuje wszystkie warunki określone w ww. dokumentach, a nie wyszczególnione w kosztorysie.</w:t>
      </w:r>
    </w:p>
    <w:p w:rsidR="00752DE4" w:rsidRDefault="00752DE4" w:rsidP="00752DE4">
      <w:pPr>
        <w:pStyle w:val="Nagwek2"/>
      </w:pPr>
      <w:r>
        <w:t>9.3. Objazdy, przejazdy i organizacja ruchu</w:t>
      </w:r>
    </w:p>
    <w:p w:rsidR="00752DE4" w:rsidRDefault="00752DE4" w:rsidP="00752DE4">
      <w:pPr>
        <w:pStyle w:val="tekstost"/>
      </w:pPr>
      <w:r>
        <w:tab/>
        <w:t>Koszt  wybudowania objazdów/przejazdów i organizacji ruchu obejmuje:</w:t>
      </w:r>
    </w:p>
    <w:p w:rsidR="00752DE4" w:rsidRDefault="00752DE4" w:rsidP="00B4292E">
      <w:pPr>
        <w:pStyle w:val="tekstost"/>
        <w:numPr>
          <w:ilvl w:val="0"/>
          <w:numId w:val="47"/>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52DE4" w:rsidRDefault="00752DE4" w:rsidP="00B4292E">
      <w:pPr>
        <w:pStyle w:val="tekstost"/>
        <w:numPr>
          <w:ilvl w:val="0"/>
          <w:numId w:val="47"/>
        </w:numPr>
      </w:pPr>
      <w:r>
        <w:t>ustawienie tymczasowego oznakowania i oświetlenia zgodnie z wymaganiami bezpieczeństwa ruchu,</w:t>
      </w:r>
    </w:p>
    <w:p w:rsidR="00752DE4" w:rsidRDefault="00752DE4" w:rsidP="00B4292E">
      <w:pPr>
        <w:pStyle w:val="tekstost"/>
        <w:numPr>
          <w:ilvl w:val="0"/>
          <w:numId w:val="47"/>
        </w:numPr>
      </w:pPr>
      <w:r>
        <w:t>opłaty/dzierżawy terenu,</w:t>
      </w:r>
    </w:p>
    <w:p w:rsidR="00752DE4" w:rsidRDefault="00752DE4" w:rsidP="00B4292E">
      <w:pPr>
        <w:pStyle w:val="tekstost"/>
        <w:numPr>
          <w:ilvl w:val="0"/>
          <w:numId w:val="47"/>
        </w:numPr>
      </w:pPr>
      <w:r>
        <w:t>przygotowanie terenu,</w:t>
      </w:r>
    </w:p>
    <w:p w:rsidR="00752DE4" w:rsidRDefault="00752DE4" w:rsidP="00B4292E">
      <w:pPr>
        <w:pStyle w:val="tekstost"/>
        <w:numPr>
          <w:ilvl w:val="0"/>
          <w:numId w:val="47"/>
        </w:numPr>
      </w:pPr>
      <w:r>
        <w:t>konstrukcję tymczasowej nawierzchni, ramp, chodników, krawężników, barier, oznakowań i drenażu,</w:t>
      </w:r>
    </w:p>
    <w:p w:rsidR="00752DE4" w:rsidRDefault="00752DE4" w:rsidP="00B4292E">
      <w:pPr>
        <w:pStyle w:val="tekstost"/>
        <w:numPr>
          <w:ilvl w:val="0"/>
          <w:numId w:val="47"/>
        </w:numPr>
      </w:pPr>
      <w:r>
        <w:t>tymczasową przebudowę urządzeń obcych.</w:t>
      </w:r>
    </w:p>
    <w:p w:rsidR="00752DE4" w:rsidRDefault="00752DE4" w:rsidP="00752DE4">
      <w:pPr>
        <w:pStyle w:val="tekstost"/>
      </w:pPr>
      <w:r>
        <w:tab/>
        <w:t>Koszt utrzymania objazdów/przejazdów i organizacji ruchu obejmuje:</w:t>
      </w:r>
    </w:p>
    <w:p w:rsidR="00752DE4" w:rsidRDefault="00752DE4" w:rsidP="00B4292E">
      <w:pPr>
        <w:pStyle w:val="tekstost"/>
        <w:numPr>
          <w:ilvl w:val="0"/>
          <w:numId w:val="48"/>
        </w:numPr>
        <w:ind w:left="284" w:hanging="284"/>
      </w:pPr>
      <w:r>
        <w:t>oczyszczanie, przestawienie, przykrycie i usunięcie tymczasowych oznakowań pionowych, poziomych, barier i świateł,</w:t>
      </w:r>
    </w:p>
    <w:p w:rsidR="00752DE4" w:rsidRDefault="00752DE4" w:rsidP="00B4292E">
      <w:pPr>
        <w:pStyle w:val="tekstost"/>
        <w:numPr>
          <w:ilvl w:val="0"/>
          <w:numId w:val="48"/>
        </w:numPr>
        <w:ind w:left="284" w:hanging="284"/>
      </w:pPr>
      <w:r>
        <w:t>utrzymanie płynności ruchu publicznego.</w:t>
      </w:r>
    </w:p>
    <w:p w:rsidR="00752DE4" w:rsidRDefault="00752DE4" w:rsidP="00752DE4">
      <w:pPr>
        <w:pStyle w:val="tekstost"/>
      </w:pPr>
      <w:r>
        <w:tab/>
        <w:t>Koszt likwidacji objazdów/przejazdów i organizacji ruchu obejmuje:</w:t>
      </w:r>
    </w:p>
    <w:p w:rsidR="00752DE4" w:rsidRDefault="00752DE4" w:rsidP="00B4292E">
      <w:pPr>
        <w:pStyle w:val="tekstost"/>
        <w:numPr>
          <w:ilvl w:val="0"/>
          <w:numId w:val="49"/>
        </w:numPr>
        <w:ind w:left="284" w:hanging="284"/>
      </w:pPr>
      <w:r>
        <w:t>usunięcie wbudowanych materiałów i oznakowania,</w:t>
      </w:r>
    </w:p>
    <w:p w:rsidR="00752DE4" w:rsidRDefault="00752DE4" w:rsidP="00B4292E">
      <w:pPr>
        <w:pStyle w:val="tekstost"/>
        <w:numPr>
          <w:ilvl w:val="0"/>
          <w:numId w:val="49"/>
        </w:numPr>
        <w:ind w:left="284" w:hanging="284"/>
      </w:pPr>
      <w:r>
        <w:t>doprowadzenie terenu do stanu pierwotnego.</w:t>
      </w:r>
    </w:p>
    <w:p w:rsidR="00752DE4" w:rsidRDefault="00752DE4" w:rsidP="00752DE4">
      <w:pPr>
        <w:pStyle w:val="Nagwek1"/>
      </w:pPr>
      <w:bookmarkStart w:id="28" w:name="_Toc416830707"/>
      <w:bookmarkStart w:id="29" w:name="_Toc6881288"/>
      <w:bookmarkStart w:id="30" w:name="_Toc9229982"/>
      <w:r>
        <w:t>10. przepisy związane</w:t>
      </w:r>
      <w:bookmarkEnd w:id="28"/>
      <w:bookmarkEnd w:id="29"/>
      <w:bookmarkEnd w:id="30"/>
    </w:p>
    <w:p w:rsidR="00752DE4" w:rsidRDefault="00752DE4" w:rsidP="00B4292E">
      <w:pPr>
        <w:pStyle w:val="tekstost"/>
        <w:numPr>
          <w:ilvl w:val="0"/>
          <w:numId w:val="50"/>
        </w:numPr>
        <w:ind w:left="284" w:hanging="284"/>
      </w:pPr>
      <w:r>
        <w:t>Ustawa z dnia 7 lipca 1994 r. - Prawo budowlane (Dz. U. Nr 89, poz. 414 z później</w:t>
      </w:r>
      <w:r>
        <w:softHyphen/>
        <w:t>szymi zmianami).</w:t>
      </w:r>
    </w:p>
    <w:p w:rsidR="00752DE4" w:rsidRDefault="00752DE4" w:rsidP="00B4292E">
      <w:pPr>
        <w:pStyle w:val="tekstost"/>
        <w:numPr>
          <w:ilvl w:val="0"/>
          <w:numId w:val="50"/>
        </w:numPr>
      </w:pPr>
      <w:r>
        <w:t>Zarządzenie Ministra Infrastruktury z dnia 19 listopada 2001 r. w sprawie dziennika budowy, montażu i rozbiórki oraz tablicy informacyjnej (Dz. U. Nr 138, poz. 1555).</w:t>
      </w:r>
    </w:p>
    <w:p w:rsidR="00752DE4" w:rsidRDefault="00752DE4" w:rsidP="00B4292E">
      <w:pPr>
        <w:pStyle w:val="tekstost"/>
        <w:numPr>
          <w:ilvl w:val="0"/>
          <w:numId w:val="50"/>
        </w:numPr>
      </w:pPr>
      <w:r>
        <w:t>Ustawa z dnia 21 marca 1985 r. o drogach publicznych (Dz. U. Nr 14, poz. 60 z późniejszymi zmianami).</w:t>
      </w:r>
    </w:p>
    <w:p w:rsidR="00752DE4" w:rsidRDefault="00752DE4" w:rsidP="00752DE4">
      <w:pPr>
        <w:pStyle w:val="tekstost"/>
        <w:rPr>
          <w:sz w:val="19"/>
        </w:rPr>
      </w:pPr>
    </w:p>
    <w:p w:rsidR="00CD292D" w:rsidRDefault="00CD292D" w:rsidP="00CD292D">
      <w:pPr>
        <w:jc w:val="center"/>
        <w:rPr>
          <w:b/>
          <w:sz w:val="28"/>
        </w:rPr>
      </w:pPr>
    </w:p>
    <w:p w:rsidR="00CD292D" w:rsidRPr="002D0D6C" w:rsidRDefault="002D0D6C" w:rsidP="002D0D6C">
      <w:pPr>
        <w:rPr>
          <w:b/>
          <w:sz w:val="28"/>
        </w:rPr>
      </w:pPr>
      <w:r>
        <w:rPr>
          <w:b/>
          <w:sz w:val="28"/>
        </w:rPr>
        <w:t xml:space="preserve">II. D - 02.00.01    </w:t>
      </w:r>
      <w:r w:rsidR="00CD292D">
        <w:rPr>
          <w:b/>
          <w:sz w:val="28"/>
        </w:rPr>
        <w:t>ROBOTY  ZIEMNE</w:t>
      </w:r>
      <w:r>
        <w:rPr>
          <w:sz w:val="24"/>
        </w:rPr>
        <w:t xml:space="preserve"> </w:t>
      </w:r>
    </w:p>
    <w:p w:rsidR="00CD292D" w:rsidRPr="002D0D6C" w:rsidRDefault="00CD292D" w:rsidP="002D0D6C">
      <w:pPr>
        <w:rPr>
          <w:b/>
          <w:bCs/>
          <w:color w:val="008000"/>
        </w:rPr>
      </w:pPr>
      <w:bookmarkStart w:id="31" w:name="s00"/>
      <w:bookmarkStart w:id="32" w:name="_1._Wstęp"/>
      <w:bookmarkStart w:id="33" w:name="_Toc405615030"/>
      <w:bookmarkStart w:id="34" w:name="_Toc407161178"/>
      <w:bookmarkStart w:id="35" w:name="_Toc418996322"/>
      <w:bookmarkStart w:id="36" w:name="_Toc418996691"/>
      <w:bookmarkStart w:id="37" w:name="_Toc418997078"/>
      <w:bookmarkStart w:id="38" w:name="_Toc418998487"/>
      <w:bookmarkStart w:id="39" w:name="_Toc418998843"/>
      <w:bookmarkStart w:id="40" w:name="_Toc419000089"/>
      <w:bookmarkEnd w:id="31"/>
      <w:bookmarkEnd w:id="32"/>
      <w:r>
        <w:rPr>
          <w:color w:val="008000"/>
        </w:rPr>
        <w:t>1. Wstęp</w:t>
      </w:r>
      <w:bookmarkEnd w:id="33"/>
      <w:bookmarkEnd w:id="34"/>
      <w:bookmarkEnd w:id="35"/>
      <w:bookmarkEnd w:id="36"/>
      <w:bookmarkEnd w:id="37"/>
      <w:bookmarkEnd w:id="38"/>
      <w:bookmarkEnd w:id="39"/>
      <w:bookmarkEnd w:id="40"/>
    </w:p>
    <w:p w:rsidR="00CD292D" w:rsidRDefault="00CD292D" w:rsidP="00CD292D">
      <w:pPr>
        <w:pStyle w:val="Nagwek2"/>
      </w:pPr>
      <w:bookmarkStart w:id="41" w:name="_Toc405615031"/>
      <w:bookmarkStart w:id="42" w:name="_Toc407161179"/>
      <w:r>
        <w:lastRenderedPageBreak/>
        <w:t>1.1. Przedmiot OST</w:t>
      </w:r>
      <w:bookmarkEnd w:id="41"/>
      <w:bookmarkEnd w:id="42"/>
    </w:p>
    <w:p w:rsidR="00CD292D" w:rsidRDefault="00CD292D" w:rsidP="00CD292D">
      <w:pPr>
        <w:pStyle w:val="Standardowytekst"/>
      </w:pPr>
      <w:r>
        <w:tab/>
        <w:t>Przedmiotem niniejszej ogólnej specyfikacji technicznej (OST) są wymagania dotyczące wykonania i odbioru liniowych robót ziemnych.</w:t>
      </w:r>
    </w:p>
    <w:p w:rsidR="00CD292D" w:rsidRDefault="00CD292D" w:rsidP="00CD292D">
      <w:pPr>
        <w:pStyle w:val="Nagwek2"/>
      </w:pPr>
      <w:bookmarkStart w:id="43" w:name="_Toc405615032"/>
      <w:bookmarkStart w:id="44" w:name="_Toc407161180"/>
      <w:r>
        <w:t>1.2. Zakres stosowania OST</w:t>
      </w:r>
      <w:bookmarkEnd w:id="43"/>
      <w:bookmarkEnd w:id="44"/>
    </w:p>
    <w:p w:rsidR="00CD292D" w:rsidRDefault="00CD292D" w:rsidP="00CD292D">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CD292D" w:rsidRDefault="00CD292D" w:rsidP="00CD292D">
      <w:pPr>
        <w:pStyle w:val="Standardowytekst"/>
      </w:pPr>
      <w:r>
        <w:tab/>
        <w:t>Niniejsza specyfikacja nie ma zastosowania do robót fundamentowych i związanych z wykonaniem instalacji.</w:t>
      </w:r>
    </w:p>
    <w:p w:rsidR="00CD292D" w:rsidRDefault="00CD292D" w:rsidP="00CD292D">
      <w:pPr>
        <w:pStyle w:val="Nagwek2"/>
      </w:pPr>
      <w:bookmarkStart w:id="45" w:name="_Toc405615033"/>
      <w:bookmarkStart w:id="46" w:name="_Toc407161181"/>
      <w:r>
        <w:t>1.3. Zakres robót objętych OST</w:t>
      </w:r>
      <w:bookmarkEnd w:id="45"/>
      <w:bookmarkEnd w:id="46"/>
    </w:p>
    <w:p w:rsidR="00CD292D" w:rsidRDefault="00CD292D" w:rsidP="00CD292D">
      <w:pPr>
        <w:pStyle w:val="Standardowytekst"/>
      </w:pPr>
      <w:r>
        <w:tab/>
        <w:t>Ustalenia zawarte w niniejszej specyfikacji dotyczą zasad prowadzenia robót ziemnych w czasie budowy lub modernizacji dróg i obejmują:</w:t>
      </w:r>
    </w:p>
    <w:p w:rsidR="00CD292D" w:rsidRDefault="00CD292D" w:rsidP="00CD292D">
      <w:pPr>
        <w:pStyle w:val="Standardowytekst"/>
        <w:numPr>
          <w:ilvl w:val="0"/>
          <w:numId w:val="14"/>
        </w:numPr>
      </w:pPr>
      <w:r>
        <w:t>wykonanie wykopów w gruntach nieskalistych,</w:t>
      </w:r>
    </w:p>
    <w:p w:rsidR="00CD292D" w:rsidRDefault="00CD292D" w:rsidP="00CD292D">
      <w:pPr>
        <w:pStyle w:val="Standardowytekst"/>
        <w:numPr>
          <w:ilvl w:val="0"/>
          <w:numId w:val="14"/>
        </w:numPr>
      </w:pPr>
      <w:r>
        <w:t>wykonanie wykopów w gruntach skalistych,</w:t>
      </w:r>
    </w:p>
    <w:p w:rsidR="00CD292D" w:rsidRDefault="00CD292D" w:rsidP="00CD292D">
      <w:pPr>
        <w:pStyle w:val="Standardowytekst"/>
        <w:numPr>
          <w:ilvl w:val="0"/>
          <w:numId w:val="14"/>
        </w:numPr>
      </w:pPr>
      <w:r>
        <w:t>budowę nasypów drogowych,</w:t>
      </w:r>
    </w:p>
    <w:p w:rsidR="00CD292D" w:rsidRDefault="00CD292D" w:rsidP="00CD292D">
      <w:pPr>
        <w:pStyle w:val="Standardowytekst"/>
        <w:numPr>
          <w:ilvl w:val="0"/>
          <w:numId w:val="14"/>
        </w:numPr>
      </w:pPr>
      <w:r>
        <w:t>pozyskiwanie gruntu z ukopu lub dokopu.</w:t>
      </w:r>
    </w:p>
    <w:p w:rsidR="00CD292D" w:rsidRDefault="00CD292D" w:rsidP="00CD292D">
      <w:pPr>
        <w:pStyle w:val="Nagwek2"/>
      </w:pPr>
      <w:bookmarkStart w:id="47" w:name="_Toc405615034"/>
      <w:bookmarkStart w:id="48" w:name="_Toc407161182"/>
      <w:r>
        <w:t>1.4. Określenia podstawowe</w:t>
      </w:r>
      <w:bookmarkEnd w:id="47"/>
      <w:bookmarkEnd w:id="48"/>
    </w:p>
    <w:p w:rsidR="00CD292D" w:rsidRDefault="00CD292D" w:rsidP="00CD292D">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CD292D" w:rsidRDefault="00CD292D" w:rsidP="00CD292D">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CD292D" w:rsidRDefault="00CD292D" w:rsidP="00CD292D">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CD292D" w:rsidRDefault="00CD292D" w:rsidP="00CD292D">
      <w:pPr>
        <w:pStyle w:val="Standardowytekst"/>
        <w:tabs>
          <w:tab w:val="right" w:pos="-1985"/>
          <w:tab w:val="left" w:pos="567"/>
        </w:tabs>
        <w:spacing w:before="120"/>
      </w:pPr>
      <w:r>
        <w:rPr>
          <w:b/>
        </w:rPr>
        <w:t>1.4.4.</w:t>
      </w:r>
      <w:r>
        <w:rPr>
          <w:b/>
        </w:rPr>
        <w:tab/>
      </w:r>
      <w:r>
        <w:t>Nasyp niski - nasyp, którego wysokość jest mniejsza niż 1 m.</w:t>
      </w:r>
    </w:p>
    <w:p w:rsidR="00CD292D" w:rsidRDefault="00CD292D" w:rsidP="00CD292D">
      <w:pPr>
        <w:pStyle w:val="Standardowytekst"/>
        <w:tabs>
          <w:tab w:val="left" w:pos="567"/>
        </w:tabs>
        <w:spacing w:before="120"/>
      </w:pPr>
      <w:r>
        <w:rPr>
          <w:b/>
        </w:rPr>
        <w:t>1.4.5.</w:t>
      </w:r>
      <w:r>
        <w:rPr>
          <w:b/>
        </w:rPr>
        <w:tab/>
      </w:r>
      <w:r>
        <w:t>Nasyp średni - nasyp, którego wysokość jest zawarta w granicach od 1 do 3 m.</w:t>
      </w:r>
    </w:p>
    <w:p w:rsidR="00CD292D" w:rsidRDefault="00CD292D" w:rsidP="00CD292D">
      <w:pPr>
        <w:pStyle w:val="Standardowytekst"/>
        <w:tabs>
          <w:tab w:val="left" w:pos="567"/>
        </w:tabs>
        <w:spacing w:before="120"/>
      </w:pPr>
      <w:r>
        <w:rPr>
          <w:b/>
        </w:rPr>
        <w:t>1.4.6.</w:t>
      </w:r>
      <w:r>
        <w:rPr>
          <w:b/>
        </w:rPr>
        <w:tab/>
      </w:r>
      <w:r>
        <w:t>Nasyp wysoki - nasyp, którego wysokość przekracza 3 m.</w:t>
      </w:r>
    </w:p>
    <w:p w:rsidR="00CD292D" w:rsidRDefault="00CD292D" w:rsidP="00CD292D">
      <w:pPr>
        <w:pStyle w:val="Standardowytekst"/>
        <w:tabs>
          <w:tab w:val="left" w:pos="567"/>
        </w:tabs>
        <w:spacing w:before="120"/>
      </w:pPr>
      <w:r>
        <w:rPr>
          <w:b/>
        </w:rPr>
        <w:t>1.4.7.</w:t>
      </w:r>
      <w:r>
        <w:rPr>
          <w:b/>
        </w:rPr>
        <w:tab/>
      </w:r>
      <w:r>
        <w:t>Wykop płytki - wykop, którego głębokość jest mniejsza niż 1 m.</w:t>
      </w:r>
    </w:p>
    <w:p w:rsidR="00CD292D" w:rsidRDefault="00CD292D" w:rsidP="00CD292D">
      <w:pPr>
        <w:pStyle w:val="Standardowytekst"/>
        <w:tabs>
          <w:tab w:val="left" w:pos="567"/>
        </w:tabs>
        <w:spacing w:before="120"/>
      </w:pPr>
      <w:r>
        <w:rPr>
          <w:b/>
        </w:rPr>
        <w:t>1.4.8.</w:t>
      </w:r>
      <w:r>
        <w:rPr>
          <w:b/>
        </w:rPr>
        <w:tab/>
      </w:r>
      <w:r>
        <w:t>Wykop średni - wykop, którego głębokość jest zawarta w granicach od 1 do 3 m.</w:t>
      </w:r>
    </w:p>
    <w:p w:rsidR="00CD292D" w:rsidRDefault="00CD292D" w:rsidP="00CD292D">
      <w:pPr>
        <w:pStyle w:val="Standardowytekst"/>
        <w:tabs>
          <w:tab w:val="left" w:pos="567"/>
        </w:tabs>
        <w:spacing w:before="120"/>
      </w:pPr>
      <w:r>
        <w:rPr>
          <w:b/>
        </w:rPr>
        <w:t>1.4.9.</w:t>
      </w:r>
      <w:r>
        <w:rPr>
          <w:b/>
        </w:rPr>
        <w:tab/>
      </w:r>
      <w:r>
        <w:t>Wykop głęboki - wykop, którego głębokość przekracza 3 m.</w:t>
      </w:r>
    </w:p>
    <w:p w:rsidR="00CD292D" w:rsidRDefault="00CD292D" w:rsidP="00CD292D">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CD292D" w:rsidRDefault="00CD292D" w:rsidP="00CD292D">
      <w:pPr>
        <w:pStyle w:val="Standardowytekst"/>
        <w:tabs>
          <w:tab w:val="left" w:pos="709"/>
        </w:tabs>
        <w:spacing w:before="120"/>
      </w:pPr>
      <w:r>
        <w:rPr>
          <w:b/>
          <w:bCs/>
        </w:rPr>
        <w:t>1.4.11.</w:t>
      </w:r>
      <w:r>
        <w:rPr>
          <w:b/>
          <w:bCs/>
        </w:rPr>
        <w:tab/>
      </w:r>
      <w:r>
        <w:t>Grunt nieskalisty - każdy grunt rodzimy, nie określony w punkcie 1.4.12 jako grunt skalisty.</w:t>
      </w:r>
    </w:p>
    <w:p w:rsidR="00CD292D" w:rsidRDefault="00CD292D" w:rsidP="00CD292D">
      <w:pPr>
        <w:pStyle w:val="Standardowytekst"/>
        <w:tabs>
          <w:tab w:val="left" w:pos="709"/>
        </w:tabs>
        <w:spacing w:before="120"/>
      </w:pPr>
      <w:r>
        <w:rPr>
          <w:b/>
        </w:rPr>
        <w:t>1.4.12.</w:t>
      </w:r>
      <w:r>
        <w:rPr>
          <w:b/>
        </w:rPr>
        <w:tab/>
      </w:r>
      <w:r>
        <w:t>Grunt skalisty - grunt rodzimy, lity lub spękany o nieprzesuniętych blokach, którego próbki nie wykazują zmian objętości ani nie rozpadają się pod działaniem wody destylowanej; mają wytrzymałość na ściskanie R</w:t>
      </w:r>
      <w:r>
        <w:rPr>
          <w:vertAlign w:val="subscript"/>
        </w:rPr>
        <w:t>c</w:t>
      </w:r>
      <w:r>
        <w:t xml:space="preserve"> ponad 0,2 MPa; wymaga użycia środków wybuchowych albo narzędzi pneumatycznych lub hydraulicznych do odspojenia.</w:t>
      </w:r>
    </w:p>
    <w:p w:rsidR="00CD292D" w:rsidRDefault="00CD292D" w:rsidP="00CD292D">
      <w:pPr>
        <w:pStyle w:val="Standardowytekst"/>
        <w:tabs>
          <w:tab w:val="left" w:pos="709"/>
        </w:tabs>
        <w:spacing w:before="120"/>
      </w:pPr>
      <w:r>
        <w:rPr>
          <w:b/>
        </w:rPr>
        <w:t>1.4.13.</w:t>
      </w:r>
      <w:r>
        <w:rPr>
          <w:b/>
        </w:rPr>
        <w:tab/>
      </w:r>
      <w:r>
        <w:t>Ukop - miejsce pozyskania gruntu do wykonania nasypów, położone w obrębie pasa robót drogowych.</w:t>
      </w:r>
    </w:p>
    <w:p w:rsidR="00CD292D" w:rsidRDefault="00CD292D" w:rsidP="00CD292D">
      <w:pPr>
        <w:pStyle w:val="Standardowytekst"/>
        <w:tabs>
          <w:tab w:val="left" w:pos="709"/>
        </w:tabs>
        <w:spacing w:before="120"/>
      </w:pPr>
      <w:r>
        <w:rPr>
          <w:b/>
        </w:rPr>
        <w:t>1.4.14.</w:t>
      </w:r>
      <w:r>
        <w:rPr>
          <w:b/>
        </w:rPr>
        <w:tab/>
      </w:r>
      <w:r>
        <w:t>Dokop - miejsce pozyskania gruntu do wykonania nasypów, położone poza pasem robót drogowych.</w:t>
      </w:r>
    </w:p>
    <w:p w:rsidR="00CD292D" w:rsidRDefault="00CD292D" w:rsidP="00CD292D">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CD292D" w:rsidRDefault="00CD292D" w:rsidP="00CD292D">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CD292D" w:rsidRDefault="00CD292D" w:rsidP="00CD292D">
      <w:pPr>
        <w:pStyle w:val="Standardowytekst"/>
        <w:spacing w:before="120"/>
        <w:jc w:val="center"/>
      </w:pPr>
      <w:r>
        <w:rPr>
          <w:vertAlign w:val="subscript"/>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pt" o:ole="">
            <v:imagedata r:id="rId7" o:title=""/>
          </v:shape>
          <o:OLEObject Type="Embed" ProgID="Unknown" ShapeID="_x0000_i1025" DrawAspect="Content" ObjectID="_1716705617" r:id="rId8"/>
        </w:object>
      </w:r>
    </w:p>
    <w:p w:rsidR="00CD292D" w:rsidRDefault="00CD292D" w:rsidP="00CD292D">
      <w:pPr>
        <w:pStyle w:val="Standardowytekst"/>
        <w:jc w:val="left"/>
      </w:pPr>
      <w:r>
        <w:t>gdzie:</w:t>
      </w:r>
    </w:p>
    <w:p w:rsidR="00CD292D" w:rsidRDefault="00CD292D" w:rsidP="00CD292D">
      <w:pPr>
        <w:pStyle w:val="Standardowytekst"/>
        <w:tabs>
          <w:tab w:val="left" w:pos="426"/>
          <w:tab w:val="left" w:pos="709"/>
        </w:tabs>
        <w:ind w:left="709" w:hanging="709"/>
      </w:pPr>
      <w:r>
        <w:rPr>
          <w:i/>
        </w:rPr>
        <w:sym w:font="Symbol" w:char="F072"/>
      </w:r>
      <w:r>
        <w:rPr>
          <w:vertAlign w:val="subscript"/>
        </w:rPr>
        <w:t>d</w:t>
      </w:r>
      <w:r>
        <w:tab/>
        <w:t>-</w:t>
      </w:r>
      <w:r>
        <w:tab/>
        <w:t>gęstość objętościowa szkieletu zagęszczonego gruntu, zgodnie z BN-77/8931-12 [9], (Mg/m</w:t>
      </w:r>
      <w:r>
        <w:rPr>
          <w:vertAlign w:val="superscript"/>
        </w:rPr>
        <w:t>3</w:t>
      </w:r>
      <w:r>
        <w:t>),</w:t>
      </w:r>
    </w:p>
    <w:p w:rsidR="00CD292D" w:rsidRDefault="00CD292D" w:rsidP="00CD292D">
      <w:pPr>
        <w:pStyle w:val="Standardowytekst"/>
        <w:tabs>
          <w:tab w:val="left" w:pos="426"/>
          <w:tab w:val="left" w:pos="709"/>
        </w:tabs>
        <w:ind w:left="709" w:hanging="709"/>
      </w:pPr>
      <w:r>
        <w:rPr>
          <w:i/>
        </w:rPr>
        <w:lastRenderedPageBreak/>
        <w:sym w:font="Symbol" w:char="F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CD292D" w:rsidRDefault="00CD292D" w:rsidP="00CD292D">
      <w:pPr>
        <w:pStyle w:val="Standardowytekst"/>
        <w:spacing w:before="120" w:after="120"/>
      </w:pPr>
      <w:r>
        <w:rPr>
          <w:b/>
        </w:rPr>
        <w:t xml:space="preserve">1.4.17. </w:t>
      </w:r>
      <w:r>
        <w:t>Wskaźnik różnoziarnistości - wielkość charakteryzująca zagęszczalność gruntów niespoistych, określona wg wzoru:</w:t>
      </w:r>
    </w:p>
    <w:p w:rsidR="00CD292D" w:rsidRDefault="00CD292D" w:rsidP="00CD292D">
      <w:pPr>
        <w:pStyle w:val="Standardowytekst"/>
        <w:jc w:val="center"/>
        <w:rPr>
          <w:b/>
        </w:rPr>
      </w:pPr>
      <w:r>
        <w:rPr>
          <w:vertAlign w:val="subscript"/>
        </w:rPr>
        <w:object w:dxaOrig="780" w:dyaOrig="600">
          <v:shape id="_x0000_i1026" type="#_x0000_t75" style="width:39pt;height:30pt" o:ole="">
            <v:imagedata r:id="rId9" o:title=""/>
          </v:shape>
          <o:OLEObject Type="Embed" ProgID="Unknown" ShapeID="_x0000_i1026" DrawAspect="Content" ObjectID="_1716705618" r:id="rId10"/>
        </w:object>
      </w:r>
    </w:p>
    <w:p w:rsidR="00CD292D" w:rsidRDefault="00CD292D" w:rsidP="00CD292D">
      <w:pPr>
        <w:pStyle w:val="Standardowytekst"/>
      </w:pPr>
      <w:r>
        <w:t>gdzie:</w:t>
      </w:r>
    </w:p>
    <w:p w:rsidR="00CD292D" w:rsidRDefault="00CD292D" w:rsidP="00CD292D">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CD292D" w:rsidRDefault="00CD292D" w:rsidP="00CD292D">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CD292D" w:rsidRDefault="00CD292D" w:rsidP="00CD292D">
      <w:pPr>
        <w:pStyle w:val="Standardowytekst"/>
        <w:spacing w:before="120" w:after="120"/>
      </w:pPr>
      <w:r>
        <w:rPr>
          <w:b/>
        </w:rPr>
        <w:t>1.4.18.</w:t>
      </w:r>
      <w:r>
        <w:t xml:space="preserve"> Wskaźnik odkształcenia gruntu - wielkość charakteryzująca stan zagęszczenia gruntu, określona wg wzoru: </w:t>
      </w:r>
    </w:p>
    <w:p w:rsidR="00CD292D" w:rsidRDefault="00CD292D" w:rsidP="00CD292D">
      <w:pPr>
        <w:pStyle w:val="Standardowytekst"/>
        <w:tabs>
          <w:tab w:val="left" w:pos="426"/>
          <w:tab w:val="left" w:pos="709"/>
        </w:tabs>
        <w:jc w:val="center"/>
      </w:pPr>
      <w:r>
        <w:rPr>
          <w:vertAlign w:val="subscript"/>
        </w:rPr>
        <w:object w:dxaOrig="720" w:dyaOrig="600">
          <v:shape id="_x0000_i1027" type="#_x0000_t75" style="width:36pt;height:30pt" o:ole="">
            <v:imagedata r:id="rId11" o:title=""/>
          </v:shape>
          <o:OLEObject Type="Embed" ProgID="Unknown" ShapeID="_x0000_i1027" DrawAspect="Content" ObjectID="_1716705619" r:id="rId12"/>
        </w:object>
      </w:r>
    </w:p>
    <w:p w:rsidR="00CD292D" w:rsidRDefault="00CD292D" w:rsidP="00CD292D">
      <w:pPr>
        <w:pStyle w:val="Standardowytekst"/>
        <w:tabs>
          <w:tab w:val="left" w:pos="426"/>
          <w:tab w:val="left" w:pos="709"/>
        </w:tabs>
      </w:pPr>
      <w:r>
        <w:t>gdzie:</w:t>
      </w:r>
    </w:p>
    <w:p w:rsidR="00CD292D" w:rsidRDefault="00CD292D" w:rsidP="00CD292D">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CD292D" w:rsidRDefault="00CD292D" w:rsidP="00CD292D">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CD292D" w:rsidRDefault="00CD292D" w:rsidP="00CD292D">
      <w:pPr>
        <w:pStyle w:val="Standardowytekst"/>
        <w:tabs>
          <w:tab w:val="left" w:pos="426"/>
          <w:tab w:val="left" w:pos="709"/>
        </w:tabs>
      </w:pPr>
    </w:p>
    <w:p w:rsidR="00CD292D" w:rsidRDefault="00CD292D" w:rsidP="00CD292D">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CD292D" w:rsidRDefault="00CD292D" w:rsidP="00CD292D">
      <w:pPr>
        <w:pStyle w:val="Standardowytekst"/>
      </w:pPr>
      <w:r>
        <w:t>Geosyntetyki obejmują: geotkaniny, geowłókniny, geodzianiny, georuszty, geosiatki, geokompozyty, geomembrany, zgodnie z wytycznymi IBDiM [13].</w:t>
      </w:r>
    </w:p>
    <w:p w:rsidR="00CD292D" w:rsidRDefault="00CD292D" w:rsidP="00CD292D">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CD292D" w:rsidRDefault="00CD292D" w:rsidP="00CD292D">
      <w:pPr>
        <w:pStyle w:val="Nagwek2"/>
      </w:pPr>
      <w:bookmarkStart w:id="49" w:name="_Toc405615035"/>
      <w:bookmarkStart w:id="50" w:name="_Toc407161183"/>
      <w:r>
        <w:t>1.5. Ogólne wymagania dotyczące robót</w:t>
      </w:r>
      <w:bookmarkEnd w:id="49"/>
      <w:bookmarkEnd w:id="50"/>
    </w:p>
    <w:p w:rsidR="00CD292D" w:rsidRDefault="00CD292D" w:rsidP="00CD292D">
      <w:pPr>
        <w:pStyle w:val="Standardowytekst"/>
        <w:spacing w:after="120"/>
      </w:pPr>
      <w:r>
        <w:tab/>
        <w:t>Ogólne wymagania dotyczące robót podano w OST D-M-00.00.00 „Wymagania ogólne” pkt 1.5.</w:t>
      </w:r>
    </w:p>
    <w:p w:rsidR="00CD292D" w:rsidRDefault="00CD292D" w:rsidP="00CD292D">
      <w:pPr>
        <w:pStyle w:val="Nagwek1"/>
        <w:rPr>
          <w:color w:val="008000"/>
        </w:rPr>
      </w:pPr>
      <w:bookmarkStart w:id="51" w:name="_2._materiały_(grunty)"/>
      <w:bookmarkStart w:id="52" w:name="_Toc419000090"/>
      <w:bookmarkStart w:id="53" w:name="_Toc418998845"/>
      <w:bookmarkStart w:id="54" w:name="_Toc418998489"/>
      <w:bookmarkStart w:id="55" w:name="_Toc418997079"/>
      <w:bookmarkStart w:id="56" w:name="_Toc418996692"/>
      <w:bookmarkStart w:id="57" w:name="_Toc418996323"/>
      <w:bookmarkStart w:id="58" w:name="_Toc407161184"/>
      <w:bookmarkStart w:id="59" w:name="_Toc405615036"/>
      <w:bookmarkEnd w:id="51"/>
      <w:r>
        <w:rPr>
          <w:color w:val="008000"/>
        </w:rPr>
        <w:t>2. materiały (grunty)</w:t>
      </w:r>
      <w:bookmarkEnd w:id="52"/>
      <w:bookmarkEnd w:id="53"/>
      <w:bookmarkEnd w:id="54"/>
      <w:bookmarkEnd w:id="55"/>
      <w:bookmarkEnd w:id="56"/>
      <w:bookmarkEnd w:id="57"/>
      <w:bookmarkEnd w:id="58"/>
      <w:bookmarkEnd w:id="59"/>
    </w:p>
    <w:p w:rsidR="00CD292D" w:rsidRDefault="00CD292D" w:rsidP="00CD292D">
      <w:pPr>
        <w:pStyle w:val="Nagwek2"/>
      </w:pPr>
      <w:bookmarkStart w:id="60" w:name="_Toc405615037"/>
      <w:bookmarkStart w:id="61" w:name="_Toc407161185"/>
      <w:r>
        <w:t>2.1. Ogólne wymagania dotyczące materiałów</w:t>
      </w:r>
      <w:bookmarkEnd w:id="60"/>
      <w:bookmarkEnd w:id="61"/>
    </w:p>
    <w:p w:rsidR="00CD292D" w:rsidRDefault="00CD292D" w:rsidP="00CD292D">
      <w:pPr>
        <w:pStyle w:val="Standardowytekst"/>
      </w:pPr>
      <w:r>
        <w:tab/>
        <w:t>Ogólne wymagania dotyczące materiałów, ich pozyskiwania i składowania, podano w OST D-M-00.00.00 „Wymagania ogólne” pkt 2.</w:t>
      </w:r>
    </w:p>
    <w:p w:rsidR="00CD292D" w:rsidRDefault="00CD292D" w:rsidP="00CD292D">
      <w:pPr>
        <w:pStyle w:val="Nagwek2"/>
      </w:pPr>
      <w:bookmarkStart w:id="62" w:name="_Toc405615038"/>
      <w:bookmarkStart w:id="63" w:name="_Toc407161186"/>
      <w:r>
        <w:t>2.2. Podział gruntów</w:t>
      </w:r>
      <w:bookmarkEnd w:id="62"/>
      <w:bookmarkEnd w:id="63"/>
    </w:p>
    <w:p w:rsidR="00CD292D" w:rsidRDefault="00CD292D" w:rsidP="00CD292D">
      <w:pPr>
        <w:pStyle w:val="Standardowytekst"/>
      </w:pPr>
      <w:r>
        <w:tab/>
        <w:t>Podział gruntów pod względem wysadzinowości podaje tablica 1.</w:t>
      </w:r>
    </w:p>
    <w:p w:rsidR="00CD292D" w:rsidRDefault="00CD292D" w:rsidP="00CD292D">
      <w:pPr>
        <w:pStyle w:val="Standardowytekst"/>
      </w:pPr>
      <w:r>
        <w:tab/>
        <w:t>Podział gruntów pod względem przydatności do budowy nasypów podano w OST D-02.03.01 pkt 2.</w:t>
      </w:r>
    </w:p>
    <w:p w:rsidR="00CD292D" w:rsidRDefault="00CD292D" w:rsidP="00CD292D">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96"/>
        <w:gridCol w:w="1606"/>
        <w:gridCol w:w="896"/>
        <w:gridCol w:w="1628"/>
        <w:gridCol w:w="1628"/>
        <w:gridCol w:w="1629"/>
      </w:tblGrid>
      <w:tr w:rsidR="00CD292D" w:rsidTr="00CD292D">
        <w:tc>
          <w:tcPr>
            <w:tcW w:w="496" w:type="dxa"/>
            <w:vMerge w:val="restart"/>
            <w:tcBorders>
              <w:top w:val="single" w:sz="6" w:space="0" w:color="auto"/>
              <w:left w:val="single" w:sz="6" w:space="0" w:color="auto"/>
              <w:bottom w:val="double" w:sz="6" w:space="0" w:color="auto"/>
              <w:right w:val="nil"/>
            </w:tcBorders>
            <w:noWrap/>
            <w:vAlign w:val="center"/>
            <w:hideMark/>
          </w:tcPr>
          <w:p w:rsidR="00CD292D" w:rsidRDefault="00CD292D">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CD292D" w:rsidRDefault="00CD292D">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CD292D" w:rsidRDefault="00CD292D">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CD292D" w:rsidRDefault="00CD292D">
            <w:pPr>
              <w:pStyle w:val="Standardowytekst"/>
              <w:spacing w:before="60"/>
              <w:jc w:val="center"/>
            </w:pPr>
            <w:r>
              <w:t>Grupy gruntów</w:t>
            </w:r>
          </w:p>
        </w:tc>
      </w:tr>
      <w:tr w:rsidR="00CD292D" w:rsidTr="00CD292D">
        <w:tc>
          <w:tcPr>
            <w:tcW w:w="0" w:type="auto"/>
            <w:vMerge/>
            <w:tcBorders>
              <w:top w:val="single" w:sz="6" w:space="0" w:color="auto"/>
              <w:left w:val="single" w:sz="6" w:space="0" w:color="auto"/>
              <w:bottom w:val="double" w:sz="6" w:space="0" w:color="auto"/>
              <w:right w:val="nil"/>
            </w:tcBorders>
            <w:vAlign w:val="center"/>
            <w:hideMark/>
          </w:tcPr>
          <w:p w:rsidR="00CD292D" w:rsidRDefault="00CD292D"/>
        </w:tc>
        <w:tc>
          <w:tcPr>
            <w:tcW w:w="0" w:type="auto"/>
            <w:vMerge/>
            <w:tcBorders>
              <w:top w:val="single" w:sz="6" w:space="0" w:color="auto"/>
              <w:left w:val="single" w:sz="6" w:space="0" w:color="auto"/>
              <w:bottom w:val="double" w:sz="6" w:space="0" w:color="auto"/>
              <w:right w:val="nil"/>
            </w:tcBorders>
            <w:vAlign w:val="center"/>
            <w:hideMark/>
          </w:tcPr>
          <w:p w:rsidR="00CD292D" w:rsidRDefault="00CD292D"/>
        </w:tc>
        <w:tc>
          <w:tcPr>
            <w:tcW w:w="0" w:type="auto"/>
            <w:vMerge/>
            <w:tcBorders>
              <w:top w:val="single" w:sz="6" w:space="0" w:color="auto"/>
              <w:left w:val="single" w:sz="6" w:space="0" w:color="auto"/>
              <w:bottom w:val="double" w:sz="6" w:space="0" w:color="auto"/>
              <w:right w:val="nil"/>
            </w:tcBorders>
            <w:vAlign w:val="center"/>
            <w:hideMark/>
          </w:tcPr>
          <w:p w:rsidR="00CD292D" w:rsidRDefault="00CD292D"/>
        </w:tc>
        <w:tc>
          <w:tcPr>
            <w:tcW w:w="1628" w:type="dxa"/>
            <w:tcBorders>
              <w:top w:val="single" w:sz="6" w:space="0" w:color="auto"/>
              <w:left w:val="single" w:sz="6" w:space="0" w:color="auto"/>
              <w:bottom w:val="double" w:sz="6" w:space="0" w:color="auto"/>
              <w:right w:val="single" w:sz="6" w:space="0" w:color="auto"/>
            </w:tcBorders>
            <w:noWrap/>
            <w:vAlign w:val="center"/>
            <w:hideMark/>
          </w:tcPr>
          <w:p w:rsidR="00CD292D" w:rsidRDefault="00CD292D">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CD292D" w:rsidRDefault="00CD292D">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CD292D" w:rsidRDefault="00CD292D">
            <w:pPr>
              <w:pStyle w:val="Standardowytekst"/>
              <w:spacing w:after="60"/>
              <w:jc w:val="center"/>
            </w:pPr>
            <w:r>
              <w:t>wysadzinowe</w:t>
            </w:r>
          </w:p>
        </w:tc>
      </w:tr>
      <w:tr w:rsidR="00CD292D" w:rsidTr="00CD292D">
        <w:tc>
          <w:tcPr>
            <w:tcW w:w="496" w:type="dxa"/>
            <w:tcBorders>
              <w:top w:val="nil"/>
              <w:left w:val="single" w:sz="6" w:space="0" w:color="auto"/>
              <w:bottom w:val="single" w:sz="6" w:space="0" w:color="auto"/>
              <w:right w:val="single" w:sz="6" w:space="0" w:color="auto"/>
            </w:tcBorders>
            <w:noWrap/>
            <w:hideMark/>
          </w:tcPr>
          <w:p w:rsidR="00CD292D" w:rsidRDefault="00CD292D">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CD292D" w:rsidRDefault="00CD292D">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CD292D" w:rsidRDefault="00CD292D">
            <w:pPr>
              <w:pStyle w:val="Standardowytekst"/>
              <w:jc w:val="center"/>
            </w:pPr>
          </w:p>
        </w:tc>
        <w:tc>
          <w:tcPr>
            <w:tcW w:w="1628" w:type="dxa"/>
            <w:tcBorders>
              <w:top w:val="nil"/>
              <w:left w:val="single" w:sz="6" w:space="0" w:color="auto"/>
              <w:bottom w:val="single" w:sz="6" w:space="0" w:color="auto"/>
              <w:right w:val="single" w:sz="6" w:space="0" w:color="auto"/>
            </w:tcBorders>
            <w:noWrap/>
            <w:hideMark/>
          </w:tcPr>
          <w:p w:rsidR="00CD292D" w:rsidRDefault="00CD292D" w:rsidP="00CD292D">
            <w:pPr>
              <w:pStyle w:val="Standardowytekst"/>
              <w:numPr>
                <w:ilvl w:val="0"/>
                <w:numId w:val="5"/>
              </w:numPr>
              <w:jc w:val="left"/>
            </w:pPr>
            <w:r>
              <w:t>rumosz niegliniasty</w:t>
            </w:r>
          </w:p>
          <w:p w:rsidR="00CD292D" w:rsidRDefault="00CD292D" w:rsidP="00CD292D">
            <w:pPr>
              <w:pStyle w:val="Standardowytekst"/>
              <w:numPr>
                <w:ilvl w:val="0"/>
                <w:numId w:val="5"/>
              </w:numPr>
              <w:jc w:val="left"/>
            </w:pPr>
            <w:r>
              <w:t>żwir</w:t>
            </w:r>
          </w:p>
          <w:p w:rsidR="00CD292D" w:rsidRDefault="00CD292D" w:rsidP="00CD292D">
            <w:pPr>
              <w:pStyle w:val="Standardowytekst"/>
              <w:numPr>
                <w:ilvl w:val="0"/>
                <w:numId w:val="5"/>
              </w:numPr>
              <w:jc w:val="left"/>
            </w:pPr>
            <w:r>
              <w:t>pospółka</w:t>
            </w:r>
          </w:p>
          <w:p w:rsidR="00CD292D" w:rsidRDefault="00CD292D" w:rsidP="00CD292D">
            <w:pPr>
              <w:pStyle w:val="Standardowytekst"/>
              <w:numPr>
                <w:ilvl w:val="0"/>
                <w:numId w:val="5"/>
              </w:numPr>
              <w:jc w:val="left"/>
            </w:pPr>
            <w:r>
              <w:t>piasek gruby</w:t>
            </w:r>
          </w:p>
          <w:p w:rsidR="00CD292D" w:rsidRDefault="00CD292D" w:rsidP="00CD292D">
            <w:pPr>
              <w:pStyle w:val="Standardowytekst"/>
              <w:numPr>
                <w:ilvl w:val="0"/>
                <w:numId w:val="5"/>
              </w:numPr>
              <w:jc w:val="left"/>
            </w:pPr>
            <w:r>
              <w:t>piasek średni</w:t>
            </w:r>
          </w:p>
          <w:p w:rsidR="00CD292D" w:rsidRDefault="00CD292D" w:rsidP="00CD292D">
            <w:pPr>
              <w:pStyle w:val="Standardowytekst"/>
              <w:numPr>
                <w:ilvl w:val="0"/>
                <w:numId w:val="5"/>
              </w:numPr>
              <w:jc w:val="left"/>
            </w:pPr>
            <w:r>
              <w:t>piasek drobny</w:t>
            </w:r>
          </w:p>
          <w:p w:rsidR="00CD292D" w:rsidRDefault="00CD292D" w:rsidP="00CD292D">
            <w:pPr>
              <w:pStyle w:val="Standardowytekst"/>
              <w:numPr>
                <w:ilvl w:val="0"/>
                <w:numId w:val="5"/>
              </w:numPr>
              <w:jc w:val="left"/>
            </w:pPr>
            <w:r>
              <w:t>żużel nierozpadowy</w:t>
            </w:r>
          </w:p>
        </w:tc>
        <w:tc>
          <w:tcPr>
            <w:tcW w:w="1628" w:type="dxa"/>
            <w:tcBorders>
              <w:top w:val="nil"/>
              <w:left w:val="single" w:sz="6" w:space="0" w:color="auto"/>
              <w:bottom w:val="single" w:sz="6" w:space="0" w:color="auto"/>
              <w:right w:val="single" w:sz="6" w:space="0" w:color="auto"/>
            </w:tcBorders>
            <w:noWrap/>
            <w:hideMark/>
          </w:tcPr>
          <w:p w:rsidR="00CD292D" w:rsidRDefault="00CD292D" w:rsidP="00CD292D">
            <w:pPr>
              <w:pStyle w:val="Standardowytekst"/>
              <w:numPr>
                <w:ilvl w:val="0"/>
                <w:numId w:val="5"/>
              </w:numPr>
              <w:jc w:val="left"/>
            </w:pPr>
            <w:r>
              <w:t>piasek pylasty</w:t>
            </w:r>
          </w:p>
          <w:p w:rsidR="00CD292D" w:rsidRDefault="00CD292D" w:rsidP="00CD292D">
            <w:pPr>
              <w:pStyle w:val="Standardowytekst"/>
              <w:numPr>
                <w:ilvl w:val="0"/>
                <w:numId w:val="5"/>
              </w:numPr>
              <w:jc w:val="left"/>
            </w:pPr>
            <w:r>
              <w:t>zwietrzelina gliniasta</w:t>
            </w:r>
          </w:p>
          <w:p w:rsidR="00CD292D" w:rsidRDefault="00CD292D" w:rsidP="00CD292D">
            <w:pPr>
              <w:pStyle w:val="Standardowytekst"/>
              <w:numPr>
                <w:ilvl w:val="0"/>
                <w:numId w:val="5"/>
              </w:numPr>
              <w:jc w:val="left"/>
            </w:pPr>
            <w:r>
              <w:t>rumosz gliniasty</w:t>
            </w:r>
          </w:p>
          <w:p w:rsidR="00CD292D" w:rsidRDefault="00CD292D" w:rsidP="00CD292D">
            <w:pPr>
              <w:pStyle w:val="Standardowytekst"/>
              <w:numPr>
                <w:ilvl w:val="0"/>
                <w:numId w:val="5"/>
              </w:numPr>
              <w:jc w:val="left"/>
            </w:pPr>
            <w:r>
              <w:t>żwir gliniasty</w:t>
            </w:r>
          </w:p>
          <w:p w:rsidR="00CD292D" w:rsidRDefault="00CD292D" w:rsidP="00CD292D">
            <w:pPr>
              <w:pStyle w:val="Standardowytekst"/>
              <w:numPr>
                <w:ilvl w:val="0"/>
                <w:numId w:val="5"/>
              </w:numPr>
              <w:jc w:val="left"/>
            </w:pPr>
            <w:r>
              <w:t>pospółka gliniasta</w:t>
            </w:r>
          </w:p>
        </w:tc>
        <w:tc>
          <w:tcPr>
            <w:tcW w:w="1629" w:type="dxa"/>
            <w:tcBorders>
              <w:top w:val="nil"/>
              <w:left w:val="single" w:sz="6" w:space="0" w:color="auto"/>
              <w:bottom w:val="single" w:sz="6" w:space="0" w:color="auto"/>
              <w:right w:val="single" w:sz="6" w:space="0" w:color="auto"/>
            </w:tcBorders>
            <w:noWrap/>
            <w:hideMark/>
          </w:tcPr>
          <w:p w:rsidR="00CD292D" w:rsidRDefault="00CD292D">
            <w:pPr>
              <w:pStyle w:val="Standardowytekst"/>
              <w:rPr>
                <w:sz w:val="18"/>
              </w:rPr>
            </w:pPr>
            <w:r>
              <w:rPr>
                <w:b/>
                <w:sz w:val="18"/>
              </w:rPr>
              <w:t>mało wysadzinowe</w:t>
            </w:r>
          </w:p>
          <w:p w:rsidR="00CD292D" w:rsidRDefault="00CD292D" w:rsidP="00CD292D">
            <w:pPr>
              <w:pStyle w:val="Standardowytekst"/>
              <w:numPr>
                <w:ilvl w:val="0"/>
                <w:numId w:val="5"/>
              </w:numPr>
              <w:jc w:val="left"/>
              <w:rPr>
                <w:sz w:val="18"/>
              </w:rPr>
            </w:pPr>
            <w:r>
              <w:rPr>
                <w:sz w:val="18"/>
              </w:rPr>
              <w:t>glina piasz-    czysta zwięzła, glina zwięzła, glina pylasta zwięzła</w:t>
            </w:r>
          </w:p>
          <w:p w:rsidR="00CD292D" w:rsidRDefault="00CD292D" w:rsidP="00CD292D">
            <w:pPr>
              <w:pStyle w:val="Standardowytekst"/>
              <w:numPr>
                <w:ilvl w:val="0"/>
                <w:numId w:val="5"/>
              </w:numPr>
              <w:jc w:val="left"/>
              <w:rPr>
                <w:sz w:val="18"/>
              </w:rPr>
            </w:pPr>
            <w:r>
              <w:rPr>
                <w:sz w:val="18"/>
              </w:rPr>
              <w:t>ił, ił piaszczys-ty, ił pylasty</w:t>
            </w:r>
          </w:p>
          <w:p w:rsidR="00CD292D" w:rsidRDefault="00CD292D">
            <w:pPr>
              <w:pStyle w:val="Standardowytekst"/>
              <w:jc w:val="left"/>
              <w:rPr>
                <w:b/>
                <w:sz w:val="18"/>
              </w:rPr>
            </w:pPr>
            <w:r>
              <w:rPr>
                <w:b/>
                <w:sz w:val="16"/>
              </w:rPr>
              <w:t>bardzo wysadzinowe</w:t>
            </w:r>
          </w:p>
          <w:p w:rsidR="00CD292D" w:rsidRDefault="00CD292D" w:rsidP="00CD292D">
            <w:pPr>
              <w:pStyle w:val="Standardowytekst"/>
              <w:numPr>
                <w:ilvl w:val="0"/>
                <w:numId w:val="5"/>
              </w:numPr>
              <w:jc w:val="left"/>
              <w:rPr>
                <w:sz w:val="18"/>
              </w:rPr>
            </w:pPr>
            <w:r>
              <w:rPr>
                <w:sz w:val="18"/>
              </w:rPr>
              <w:t>piasek gliniasty</w:t>
            </w:r>
          </w:p>
          <w:p w:rsidR="00CD292D" w:rsidRDefault="00CD292D" w:rsidP="00CD292D">
            <w:pPr>
              <w:pStyle w:val="Standardowytekst"/>
              <w:numPr>
                <w:ilvl w:val="0"/>
                <w:numId w:val="5"/>
              </w:numPr>
              <w:jc w:val="left"/>
              <w:rPr>
                <w:sz w:val="18"/>
              </w:rPr>
            </w:pPr>
            <w:r>
              <w:rPr>
                <w:sz w:val="18"/>
              </w:rPr>
              <w:t>pył, pył piasz-czysty</w:t>
            </w:r>
          </w:p>
          <w:p w:rsidR="00CD292D" w:rsidRDefault="00CD292D" w:rsidP="00CD292D">
            <w:pPr>
              <w:pStyle w:val="Standardowytekst"/>
              <w:numPr>
                <w:ilvl w:val="0"/>
                <w:numId w:val="5"/>
              </w:numPr>
              <w:jc w:val="left"/>
              <w:rPr>
                <w:sz w:val="18"/>
              </w:rPr>
            </w:pPr>
            <w:r>
              <w:rPr>
                <w:sz w:val="18"/>
              </w:rPr>
              <w:lastRenderedPageBreak/>
              <w:t>glina piasz-  czysta, glina, glina pylasta</w:t>
            </w:r>
          </w:p>
          <w:p w:rsidR="00CD292D" w:rsidRDefault="00CD292D" w:rsidP="00CD292D">
            <w:pPr>
              <w:pStyle w:val="Standardowytekst"/>
              <w:numPr>
                <w:ilvl w:val="0"/>
                <w:numId w:val="5"/>
              </w:numPr>
              <w:jc w:val="left"/>
              <w:rPr>
                <w:sz w:val="18"/>
              </w:rPr>
            </w:pPr>
            <w:r>
              <w:rPr>
                <w:sz w:val="18"/>
              </w:rPr>
              <w:t>ił warwowy</w:t>
            </w:r>
          </w:p>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pPr>
            <w:r>
              <w:t>Zawartość cząstek</w:t>
            </w:r>
          </w:p>
          <w:p w:rsidR="00CD292D" w:rsidRDefault="00CD292D">
            <w:pPr>
              <w:pStyle w:val="Standardowytekst"/>
              <w:numPr>
                <w:ilvl w:val="12"/>
                <w:numId w:val="0"/>
              </w:numPr>
            </w:pPr>
            <w:r>
              <w:sym w:font="Symbol" w:char="F0A3"/>
            </w:r>
            <w:r>
              <w:t xml:space="preserve"> 0,075 mm</w:t>
            </w:r>
          </w:p>
          <w:p w:rsidR="00CD292D" w:rsidRDefault="00CD292D">
            <w:pPr>
              <w:pStyle w:val="Standardowytekst"/>
              <w:numPr>
                <w:ilvl w:val="12"/>
                <w:numId w:val="0"/>
              </w:numPr>
            </w:pPr>
            <w:r>
              <w:sym w:font="Symbol" w:char="F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p>
          <w:p w:rsidR="00CD292D" w:rsidRDefault="00CD292D">
            <w:pPr>
              <w:pStyle w:val="Standardowytekst"/>
              <w:numPr>
                <w:ilvl w:val="12"/>
                <w:numId w:val="0"/>
              </w:numPr>
              <w:jc w:val="center"/>
            </w:pPr>
            <w:r>
              <w:sym w:font="Symbol" w:char="F03C"/>
            </w:r>
            <w:r>
              <w:t xml:space="preserve"> 15</w:t>
            </w:r>
          </w:p>
          <w:p w:rsidR="00CD292D" w:rsidRDefault="00CD292D">
            <w:pPr>
              <w:pStyle w:val="Standardowytekst"/>
              <w:numPr>
                <w:ilvl w:val="12"/>
                <w:numId w:val="0"/>
              </w:numPr>
              <w:jc w:val="center"/>
            </w:pPr>
            <w:r>
              <w:sym w:font="Symbol" w:char="F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p>
          <w:p w:rsidR="00CD292D" w:rsidRDefault="00CD292D">
            <w:pPr>
              <w:pStyle w:val="Standardowytekst"/>
              <w:numPr>
                <w:ilvl w:val="12"/>
                <w:numId w:val="0"/>
              </w:numPr>
              <w:jc w:val="center"/>
            </w:pPr>
            <w:r>
              <w:t>od 15 do 30</w:t>
            </w:r>
          </w:p>
          <w:p w:rsidR="00CD292D" w:rsidRDefault="00CD292D">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p>
          <w:p w:rsidR="00CD292D" w:rsidRDefault="00CD292D">
            <w:pPr>
              <w:pStyle w:val="Standardowytekst"/>
              <w:numPr>
                <w:ilvl w:val="12"/>
                <w:numId w:val="0"/>
              </w:numPr>
              <w:jc w:val="center"/>
            </w:pPr>
            <w:r>
              <w:sym w:font="Symbol" w:char="F03E"/>
            </w:r>
            <w:r>
              <w:t xml:space="preserve"> 30</w:t>
            </w:r>
          </w:p>
          <w:p w:rsidR="00CD292D" w:rsidRDefault="00CD292D">
            <w:pPr>
              <w:pStyle w:val="Standardowytekst"/>
              <w:numPr>
                <w:ilvl w:val="12"/>
                <w:numId w:val="0"/>
              </w:numPr>
              <w:jc w:val="center"/>
            </w:pPr>
            <w:r>
              <w:sym w:font="Symbol" w:char="F03E"/>
            </w:r>
            <w:r>
              <w:t xml:space="preserve"> 10</w:t>
            </w:r>
          </w:p>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sym w:font="Symbol" w:char="F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sym w:font="Symbol" w:char="F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sym w:font="Symbol" w:char="F03E"/>
            </w:r>
            <w:r>
              <w:t xml:space="preserve"> 1,0</w:t>
            </w:r>
          </w:p>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tc>
        <w:tc>
          <w:tcPr>
            <w:tcW w:w="1628"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sym w:font="Symbol" w:char="F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numPr>
                <w:ilvl w:val="12"/>
                <w:numId w:val="0"/>
              </w:numPr>
              <w:jc w:val="center"/>
            </w:pPr>
          </w:p>
          <w:p w:rsidR="00CD292D" w:rsidRDefault="00CD292D">
            <w:pPr>
              <w:pStyle w:val="Standardowytekst"/>
              <w:numPr>
                <w:ilvl w:val="12"/>
                <w:numId w:val="0"/>
              </w:numPr>
              <w:jc w:val="center"/>
            </w:pPr>
            <w:r>
              <w:sym w:font="Symbol" w:char="F03C"/>
            </w:r>
            <w:r>
              <w:t xml:space="preserve"> 25</w:t>
            </w:r>
          </w:p>
        </w:tc>
      </w:tr>
    </w:tbl>
    <w:p w:rsidR="00CD292D" w:rsidRDefault="00CD292D" w:rsidP="00CD292D">
      <w:pPr>
        <w:pStyle w:val="Standardowytekst"/>
      </w:pPr>
    </w:p>
    <w:p w:rsidR="00CD292D" w:rsidRDefault="00CD292D" w:rsidP="00CD292D">
      <w:pPr>
        <w:pStyle w:val="Nagwek2"/>
      </w:pPr>
      <w:bookmarkStart w:id="64" w:name="_Toc405615039"/>
      <w:bookmarkStart w:id="65" w:name="_Toc407161187"/>
      <w:r>
        <w:t>2.3. Zasady wykorzystania gruntów</w:t>
      </w:r>
      <w:bookmarkEnd w:id="64"/>
      <w:bookmarkEnd w:id="65"/>
    </w:p>
    <w:p w:rsidR="00CD292D" w:rsidRDefault="00CD292D" w:rsidP="00CD292D">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CD292D" w:rsidRDefault="00CD292D" w:rsidP="00CD292D">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CD292D" w:rsidRDefault="00CD292D" w:rsidP="00CD292D">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CD292D" w:rsidRDefault="00CD292D" w:rsidP="00CD292D">
      <w:pPr>
        <w:pStyle w:val="Standardowytekst"/>
        <w:keepNext/>
        <w:rPr>
          <w:b/>
        </w:rPr>
      </w:pPr>
      <w:r>
        <w:rPr>
          <w:b/>
        </w:rPr>
        <w:t>2.4. Geosyntetyk</w:t>
      </w:r>
    </w:p>
    <w:p w:rsidR="00CD292D" w:rsidRDefault="00CD292D" w:rsidP="00CD292D">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CD292D" w:rsidRDefault="00CD292D" w:rsidP="00CD292D">
      <w:pPr>
        <w:pStyle w:val="Nagwek1"/>
        <w:numPr>
          <w:ilvl w:val="12"/>
          <w:numId w:val="0"/>
        </w:numPr>
        <w:rPr>
          <w:color w:val="008000"/>
        </w:rPr>
      </w:pPr>
      <w:bookmarkStart w:id="66" w:name="_3._sprzęt"/>
      <w:bookmarkStart w:id="67" w:name="_Toc419000091"/>
      <w:bookmarkStart w:id="68" w:name="_Toc418998846"/>
      <w:bookmarkStart w:id="69" w:name="_Toc418998490"/>
      <w:bookmarkStart w:id="70" w:name="_Toc418997080"/>
      <w:bookmarkStart w:id="71" w:name="_Toc418996693"/>
      <w:bookmarkStart w:id="72" w:name="_Toc418996324"/>
      <w:bookmarkStart w:id="73" w:name="_Toc405615042"/>
      <w:bookmarkEnd w:id="66"/>
      <w:r>
        <w:rPr>
          <w:color w:val="008000"/>
        </w:rPr>
        <w:t>3. sprzęt</w:t>
      </w:r>
      <w:bookmarkEnd w:id="67"/>
      <w:bookmarkEnd w:id="68"/>
      <w:bookmarkEnd w:id="69"/>
      <w:bookmarkEnd w:id="70"/>
      <w:bookmarkEnd w:id="71"/>
      <w:bookmarkEnd w:id="72"/>
    </w:p>
    <w:p w:rsidR="00CD292D" w:rsidRDefault="00CD292D" w:rsidP="00CD292D">
      <w:pPr>
        <w:pStyle w:val="Nagwek2"/>
        <w:numPr>
          <w:ilvl w:val="12"/>
          <w:numId w:val="0"/>
        </w:numPr>
      </w:pPr>
      <w:r>
        <w:t>3.1. Ogólne wymagania dotyczące sprzętu</w:t>
      </w:r>
    </w:p>
    <w:p w:rsidR="00CD292D" w:rsidRDefault="00CD292D" w:rsidP="00CD292D">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CD292D" w:rsidRDefault="00CD292D" w:rsidP="00CD292D">
      <w:pPr>
        <w:pStyle w:val="Nagwek2"/>
        <w:numPr>
          <w:ilvl w:val="12"/>
          <w:numId w:val="0"/>
        </w:numPr>
      </w:pPr>
      <w:bookmarkStart w:id="74" w:name="_Toc407161190"/>
      <w:r>
        <w:t>3.2. Sprzęt do robót ziemnych</w:t>
      </w:r>
      <w:bookmarkEnd w:id="73"/>
      <w:bookmarkEnd w:id="74"/>
    </w:p>
    <w:p w:rsidR="00CD292D" w:rsidRDefault="00CD292D" w:rsidP="00CD292D">
      <w:pPr>
        <w:pStyle w:val="Standardowytekst"/>
        <w:numPr>
          <w:ilvl w:val="12"/>
          <w:numId w:val="0"/>
        </w:numPr>
      </w:pPr>
      <w:r>
        <w:tab/>
        <w:t>Wykonawca przystępujący do wykonania robót ziemnych powinien wykazać się możliwością korzystania z następującego sprzętu do:</w:t>
      </w:r>
    </w:p>
    <w:p w:rsidR="00CD292D" w:rsidRDefault="00CD292D" w:rsidP="00CD292D">
      <w:pPr>
        <w:pStyle w:val="Standardowytekst"/>
        <w:numPr>
          <w:ilvl w:val="0"/>
          <w:numId w:val="5"/>
        </w:numPr>
      </w:pPr>
      <w:r>
        <w:t>odspajania i wydobywania gruntów (narzędzia mechaniczne, młoty pneumatyczne, zrywarki, koparki, ładowarki, wiertarki mechaniczne itp.),</w:t>
      </w:r>
    </w:p>
    <w:p w:rsidR="00CD292D" w:rsidRDefault="00CD292D" w:rsidP="00CD292D">
      <w:pPr>
        <w:pStyle w:val="Standardowytekst"/>
        <w:numPr>
          <w:ilvl w:val="0"/>
          <w:numId w:val="5"/>
        </w:numPr>
      </w:pPr>
      <w:r>
        <w:t>jednoczesnego wydobywania i przemieszczania gruntów (spycharki, zgarniarki, równiarki, urządzenia do hydromechanizacji itp.),</w:t>
      </w:r>
    </w:p>
    <w:p w:rsidR="00CD292D" w:rsidRDefault="00CD292D" w:rsidP="00CD292D">
      <w:pPr>
        <w:pStyle w:val="Standardowytekst"/>
        <w:numPr>
          <w:ilvl w:val="0"/>
          <w:numId w:val="5"/>
        </w:numPr>
      </w:pPr>
      <w:r>
        <w:t>transportu mas ziemnych (samochody wywrotki, samochody skrzyniowe, taśmociągi itp.),</w:t>
      </w:r>
    </w:p>
    <w:p w:rsidR="00CD292D" w:rsidRDefault="00CD292D" w:rsidP="00CD292D">
      <w:pPr>
        <w:pStyle w:val="Standardowytekst"/>
        <w:numPr>
          <w:ilvl w:val="0"/>
          <w:numId w:val="5"/>
        </w:numPr>
      </w:pPr>
      <w:r>
        <w:t>sprzętu zagęszczającego (walce, ubijaki, płyty wibracyjne itp.).</w:t>
      </w:r>
    </w:p>
    <w:p w:rsidR="00CD292D" w:rsidRDefault="00CD292D" w:rsidP="00CD292D">
      <w:pPr>
        <w:pStyle w:val="Standardowytekst"/>
      </w:pPr>
    </w:p>
    <w:p w:rsidR="00CD292D" w:rsidRDefault="00CD292D" w:rsidP="00CD292D">
      <w:pPr>
        <w:rPr>
          <w:b/>
        </w:rPr>
      </w:pPr>
      <w:r>
        <w:rPr>
          <w:b/>
        </w:rPr>
        <w:t>3.3. Sprzęt do przenoszenia i układania geosyntetyków</w:t>
      </w:r>
    </w:p>
    <w:p w:rsidR="00CD292D" w:rsidRDefault="00CD292D" w:rsidP="00CD292D"/>
    <w:p w:rsidR="00CD292D" w:rsidRDefault="00CD292D" w:rsidP="00CD292D">
      <w:pPr>
        <w:ind w:firstLine="709"/>
      </w:pPr>
      <w:r>
        <w:t>Do przenoszenia i układania geosyntetyków Wykonawca powinien używać odpowiedniego sprzętu zalecanego przez producenta. Wykonawca nie powinien stosować sprzętu mogącego spowodować uszkodzenie układanego materiału.</w:t>
      </w:r>
    </w:p>
    <w:p w:rsidR="00CD292D" w:rsidRDefault="00CD292D" w:rsidP="00CD292D">
      <w:pPr>
        <w:pStyle w:val="Nagwek1"/>
        <w:rPr>
          <w:color w:val="008000"/>
        </w:rPr>
      </w:pPr>
      <w:bookmarkStart w:id="75" w:name="_4._transport"/>
      <w:bookmarkStart w:id="76" w:name="_Toc419000092"/>
      <w:bookmarkStart w:id="77" w:name="_Toc418998847"/>
      <w:bookmarkStart w:id="78" w:name="_Toc418998491"/>
      <w:bookmarkStart w:id="79" w:name="_Toc418997081"/>
      <w:bookmarkStart w:id="80" w:name="_Toc418996694"/>
      <w:bookmarkStart w:id="81" w:name="_Toc418996325"/>
      <w:bookmarkStart w:id="82" w:name="_Toc407161191"/>
      <w:bookmarkStart w:id="83" w:name="_Toc405615043"/>
      <w:bookmarkEnd w:id="75"/>
      <w:r>
        <w:rPr>
          <w:color w:val="008000"/>
        </w:rPr>
        <w:lastRenderedPageBreak/>
        <w:t>4. transport</w:t>
      </w:r>
      <w:bookmarkEnd w:id="76"/>
      <w:bookmarkEnd w:id="77"/>
      <w:bookmarkEnd w:id="78"/>
      <w:bookmarkEnd w:id="79"/>
      <w:bookmarkEnd w:id="80"/>
      <w:bookmarkEnd w:id="81"/>
      <w:bookmarkEnd w:id="82"/>
      <w:bookmarkEnd w:id="83"/>
    </w:p>
    <w:p w:rsidR="00CD292D" w:rsidRDefault="00CD292D" w:rsidP="00CD292D">
      <w:pPr>
        <w:pStyle w:val="Nagwek2"/>
      </w:pPr>
      <w:bookmarkStart w:id="84" w:name="_Toc405615044"/>
      <w:bookmarkStart w:id="85" w:name="_Toc407161192"/>
      <w:r>
        <w:t>4.1. Ogólne wymagania dotyczące transportu</w:t>
      </w:r>
      <w:bookmarkEnd w:id="84"/>
      <w:bookmarkEnd w:id="85"/>
    </w:p>
    <w:p w:rsidR="00CD292D" w:rsidRDefault="00CD292D" w:rsidP="00CD292D">
      <w:pPr>
        <w:pStyle w:val="Standardowytekst"/>
      </w:pPr>
      <w:r>
        <w:tab/>
        <w:t>Ogólne wymagania dotyczące transportu podano w OST D-M-00.00.00 „Wymagania ogólne” pkt 4.</w:t>
      </w:r>
    </w:p>
    <w:p w:rsidR="00CD292D" w:rsidRDefault="00CD292D" w:rsidP="00CD292D">
      <w:pPr>
        <w:pStyle w:val="Nagwek2"/>
      </w:pPr>
      <w:bookmarkStart w:id="86" w:name="_Toc405615045"/>
      <w:bookmarkStart w:id="87" w:name="_Toc407161193"/>
      <w:r>
        <w:t>4.2. Transport gruntów</w:t>
      </w:r>
      <w:bookmarkEnd w:id="86"/>
      <w:bookmarkEnd w:id="87"/>
    </w:p>
    <w:p w:rsidR="00CD292D" w:rsidRDefault="00CD292D" w:rsidP="00CD292D">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CD292D" w:rsidRDefault="00CD292D" w:rsidP="00CD292D">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CD292D" w:rsidRDefault="00CD292D" w:rsidP="00CD292D">
      <w:pPr>
        <w:rPr>
          <w:b/>
        </w:rPr>
      </w:pPr>
      <w:r>
        <w:rPr>
          <w:b/>
        </w:rPr>
        <w:t>4.3. Transport i składowanie geosyntetyków</w:t>
      </w:r>
    </w:p>
    <w:p w:rsidR="00CD292D" w:rsidRDefault="00CD292D" w:rsidP="00CD292D">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CD292D" w:rsidRDefault="00CD292D" w:rsidP="00CD292D">
      <w:pPr>
        <w:pStyle w:val="Nagwek1"/>
        <w:rPr>
          <w:color w:val="008000"/>
        </w:rPr>
      </w:pPr>
      <w:bookmarkStart w:id="88" w:name="_5._wykonanie_robót"/>
      <w:bookmarkStart w:id="89" w:name="_Toc419000093"/>
      <w:bookmarkStart w:id="90" w:name="_Toc418998848"/>
      <w:bookmarkStart w:id="91" w:name="_Toc418998492"/>
      <w:bookmarkStart w:id="92" w:name="_Toc418997082"/>
      <w:bookmarkStart w:id="93" w:name="_Toc418996695"/>
      <w:bookmarkStart w:id="94" w:name="_Toc418996326"/>
      <w:bookmarkStart w:id="95" w:name="_Toc407161194"/>
      <w:bookmarkStart w:id="96" w:name="_Toc405615046"/>
      <w:bookmarkEnd w:id="88"/>
      <w:r>
        <w:rPr>
          <w:color w:val="008000"/>
        </w:rPr>
        <w:t>5. wykonanie robót</w:t>
      </w:r>
      <w:bookmarkEnd w:id="89"/>
      <w:bookmarkEnd w:id="90"/>
      <w:bookmarkEnd w:id="91"/>
      <w:bookmarkEnd w:id="92"/>
      <w:bookmarkEnd w:id="93"/>
      <w:bookmarkEnd w:id="94"/>
      <w:bookmarkEnd w:id="95"/>
      <w:bookmarkEnd w:id="96"/>
    </w:p>
    <w:p w:rsidR="00CD292D" w:rsidRDefault="00CD292D" w:rsidP="00CD292D">
      <w:pPr>
        <w:pStyle w:val="Nagwek2"/>
      </w:pPr>
      <w:bookmarkStart w:id="97" w:name="_Toc405615047"/>
      <w:bookmarkStart w:id="98" w:name="_Toc407161195"/>
      <w:r>
        <w:t>5.1. Ogólne zasady wykonania robót</w:t>
      </w:r>
      <w:bookmarkEnd w:id="97"/>
      <w:bookmarkEnd w:id="98"/>
    </w:p>
    <w:p w:rsidR="00CD292D" w:rsidRDefault="00CD292D" w:rsidP="00CD292D">
      <w:pPr>
        <w:pStyle w:val="Standardowytekst"/>
      </w:pPr>
      <w:r>
        <w:tab/>
        <w:t>Ogólne zasady wykonania robót podano w OST D-M-00.00.00 „Wymagania ogólne” pkt 5.</w:t>
      </w:r>
    </w:p>
    <w:p w:rsidR="00CD292D" w:rsidRDefault="00CD292D" w:rsidP="00CD292D">
      <w:pPr>
        <w:pStyle w:val="Nagwek2"/>
      </w:pPr>
      <w:bookmarkStart w:id="99" w:name="_Toc405615048"/>
      <w:bookmarkStart w:id="100" w:name="_Toc407161196"/>
      <w:r>
        <w:t>5.2. Dokładność wykonania wykopów i nasypów</w:t>
      </w:r>
      <w:bookmarkEnd w:id="99"/>
      <w:bookmarkEnd w:id="100"/>
    </w:p>
    <w:p w:rsidR="00CD292D" w:rsidRDefault="00CD292D" w:rsidP="00CD292D">
      <w:pPr>
        <w:pStyle w:val="Standardowytekst"/>
      </w:pPr>
      <w:r>
        <w:tab/>
        <w:t xml:space="preserve">Odchylenie osi korpusu ziemnego, w wykopie lub nasypie, od osi projektowanej nie powinny być większe niż </w:t>
      </w:r>
      <w:r>
        <w:sym w:font="Symbol" w:char="F0B1"/>
      </w:r>
      <w:r>
        <w:t xml:space="preserve"> 10 cm. Różnica w stosunku do projektowanych rzędnych robót ziemnych nie może przekraczać + 1 cm i -3 cm.</w:t>
      </w:r>
    </w:p>
    <w:p w:rsidR="00CD292D" w:rsidRDefault="00CD292D" w:rsidP="00CD292D">
      <w:pPr>
        <w:pStyle w:val="Standardowytekst"/>
      </w:pPr>
      <w:r>
        <w:tab/>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rsidR="00CD292D" w:rsidRDefault="00CD292D" w:rsidP="00CD292D">
      <w:pPr>
        <w:pStyle w:val="Standardowytekst"/>
      </w:pPr>
      <w:r>
        <w:tab/>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 albo powinny być spełnione inne wymagania dotyczące nierówności, wynikające ze sposobu umocnienia powierzchni skarpy.</w:t>
      </w:r>
    </w:p>
    <w:p w:rsidR="00CD292D" w:rsidRDefault="00CD292D" w:rsidP="00CD292D">
      <w:pPr>
        <w:pStyle w:val="Standardowytekst"/>
        <w:spacing w:after="120"/>
      </w:pPr>
      <w:r>
        <w:tab/>
        <w:t>W gruntach skalistych wymagania, dotyczące równości powierzchni dna wykopu oraz pochylenia i równości skarp, powinny być określone w dokumentacji projektowej i SST.</w:t>
      </w:r>
    </w:p>
    <w:p w:rsidR="00CD292D" w:rsidRDefault="00CD292D" w:rsidP="00CD292D">
      <w:pPr>
        <w:pStyle w:val="Nagwek2"/>
      </w:pPr>
      <w:bookmarkStart w:id="101" w:name="_Toc405615049"/>
      <w:bookmarkStart w:id="102" w:name="_Toc407161197"/>
      <w:r>
        <w:t>5.3. Odwodnienia pasa robót ziemnych</w:t>
      </w:r>
      <w:bookmarkEnd w:id="101"/>
      <w:bookmarkEnd w:id="102"/>
    </w:p>
    <w:p w:rsidR="00CD292D" w:rsidRDefault="00CD292D" w:rsidP="00CD292D">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CD292D" w:rsidRDefault="00CD292D" w:rsidP="00CD292D">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CD292D" w:rsidRDefault="00CD292D" w:rsidP="00CD292D">
      <w:pPr>
        <w:pStyle w:val="Standardowytekst"/>
      </w:pPr>
      <w:r>
        <w:tab/>
        <w:t>Odprowadzenie wód do istniejących zbiorników naturalnych i urządzeń odwadniających musi być poprzedzone uzgodnieniem z odpowiednimi instytucjami.</w:t>
      </w:r>
    </w:p>
    <w:p w:rsidR="00CD292D" w:rsidRDefault="00CD292D" w:rsidP="00CD292D">
      <w:pPr>
        <w:pStyle w:val="Nagwek2"/>
      </w:pPr>
      <w:bookmarkStart w:id="103" w:name="_Toc405615050"/>
      <w:bookmarkStart w:id="104" w:name="_Toc407161198"/>
      <w:r>
        <w:t>5.4. Odwodnienie wykopów</w:t>
      </w:r>
      <w:bookmarkEnd w:id="103"/>
      <w:bookmarkEnd w:id="104"/>
    </w:p>
    <w:p w:rsidR="00CD292D" w:rsidRDefault="00CD292D" w:rsidP="00CD292D">
      <w:pPr>
        <w:pStyle w:val="Standardowytekst"/>
      </w:pPr>
      <w:r>
        <w:tab/>
        <w:t>Technologia wykonania wykopu musi umożliwiać jego prawidłowe odwodnienie w całym okresie trwania robót ziemnych. Wykonanie wykopów powinno postępować w kierunku podnoszenia się niwelety.</w:t>
      </w:r>
    </w:p>
    <w:p w:rsidR="00CD292D" w:rsidRDefault="00CD292D" w:rsidP="00CD292D">
      <w:pPr>
        <w:pStyle w:val="Standardowytekst"/>
      </w:pPr>
      <w:r>
        <w:tab/>
        <w:t xml:space="preserve">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w:t>
      </w:r>
      <w:r>
        <w:lastRenderedPageBreak/>
        <w:t>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CD292D" w:rsidRDefault="00CD292D" w:rsidP="00CD292D">
      <w:pPr>
        <w:pStyle w:val="Standardowytekst"/>
      </w:pPr>
      <w:r>
        <w:tab/>
        <w:t>Źródła wody, odsłonięte przy wykonywaniu wykopów, należy ująć w rowy i /lub dreny. Wody opadowe i gruntowe należy odprowadzić poza teren pasa robót ziemnych.</w:t>
      </w:r>
    </w:p>
    <w:p w:rsidR="00CD292D" w:rsidRDefault="00CD292D" w:rsidP="00CD292D">
      <w:pPr>
        <w:pStyle w:val="Nagwek2"/>
      </w:pPr>
      <w:bookmarkStart w:id="105" w:name="_Toc405615051"/>
      <w:bookmarkStart w:id="106" w:name="_Toc407161199"/>
      <w:r>
        <w:t>5.5. Rowy</w:t>
      </w:r>
      <w:bookmarkEnd w:id="105"/>
      <w:bookmarkEnd w:id="106"/>
    </w:p>
    <w:p w:rsidR="00CD292D" w:rsidRDefault="00CD292D" w:rsidP="00CD292D">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F0B1"/>
      </w:r>
      <w:r>
        <w:t xml:space="preserve"> 5 cm. Dokładność wykonania skarp rowów powinna być zgodna z określoną dla skarp wykopów w OST D-02.01.01.</w:t>
      </w:r>
    </w:p>
    <w:p w:rsidR="00CD292D" w:rsidRDefault="00CD292D" w:rsidP="00CD292D">
      <w:pPr>
        <w:pStyle w:val="Standardowytekst"/>
        <w:spacing w:after="120"/>
        <w:rPr>
          <w:b/>
        </w:rPr>
      </w:pPr>
      <w:r>
        <w:rPr>
          <w:b/>
        </w:rPr>
        <w:t>5.6. Układanie geosyntetyków</w:t>
      </w:r>
    </w:p>
    <w:p w:rsidR="00CD292D" w:rsidRDefault="00CD292D" w:rsidP="00CD292D">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CD292D" w:rsidRDefault="00CD292D" w:rsidP="00CD292D">
      <w:pPr>
        <w:ind w:firstLine="709"/>
      </w:pPr>
      <w:r>
        <w:t>W przypadku uszkodzenia geosyntetyku, należy w uzgodnieniu z Inżynierem, przykryć to uszkodzenie pasami geosyntetyku na długości i szerokości większej o 90 cm od obszaru uszkodzonego.</w:t>
      </w:r>
    </w:p>
    <w:p w:rsidR="00CD292D" w:rsidRDefault="00CD292D" w:rsidP="00CD292D">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CD292D" w:rsidRDefault="00CD292D" w:rsidP="00CD292D">
      <w:pPr>
        <w:pStyle w:val="Nagwek1"/>
        <w:rPr>
          <w:color w:val="008000"/>
        </w:rPr>
      </w:pPr>
      <w:bookmarkStart w:id="107" w:name="_6._kontrola_jakości"/>
      <w:bookmarkStart w:id="108" w:name="_Toc419000094"/>
      <w:bookmarkStart w:id="109" w:name="_Toc418998849"/>
      <w:bookmarkStart w:id="110" w:name="_Toc418998493"/>
      <w:bookmarkStart w:id="111" w:name="_Toc418997083"/>
      <w:bookmarkStart w:id="112" w:name="_Toc418996696"/>
      <w:bookmarkStart w:id="113" w:name="_Toc418996327"/>
      <w:bookmarkStart w:id="114" w:name="_Toc407161200"/>
      <w:bookmarkStart w:id="115" w:name="_Toc405615052"/>
      <w:bookmarkEnd w:id="107"/>
      <w:r>
        <w:rPr>
          <w:color w:val="008000"/>
        </w:rPr>
        <w:t>6. kontrola jakości robót</w:t>
      </w:r>
      <w:bookmarkEnd w:id="108"/>
      <w:bookmarkEnd w:id="109"/>
      <w:bookmarkEnd w:id="110"/>
      <w:bookmarkEnd w:id="111"/>
      <w:bookmarkEnd w:id="112"/>
      <w:bookmarkEnd w:id="113"/>
      <w:bookmarkEnd w:id="114"/>
      <w:bookmarkEnd w:id="115"/>
    </w:p>
    <w:p w:rsidR="00CD292D" w:rsidRDefault="00CD292D" w:rsidP="00CD292D">
      <w:pPr>
        <w:pStyle w:val="Nagwek2"/>
      </w:pPr>
      <w:bookmarkStart w:id="116" w:name="_Toc405615053"/>
      <w:bookmarkStart w:id="117" w:name="_Toc407161201"/>
      <w:r>
        <w:t>6.1. Ogólne zasady kontroli jakości robót</w:t>
      </w:r>
      <w:bookmarkEnd w:id="116"/>
      <w:bookmarkEnd w:id="117"/>
    </w:p>
    <w:p w:rsidR="00CD292D" w:rsidRDefault="00CD292D" w:rsidP="00CD292D">
      <w:pPr>
        <w:pStyle w:val="Standardowytekst"/>
      </w:pPr>
      <w:r>
        <w:tab/>
        <w:t>Ogólne zasady kontroli jakości robót podano w OST D-M-00.00.00 „Wymagania ogólne” pkt 6.</w:t>
      </w:r>
    </w:p>
    <w:p w:rsidR="00CD292D" w:rsidRDefault="00CD292D" w:rsidP="00CD292D">
      <w:pPr>
        <w:pStyle w:val="Nagwek2"/>
      </w:pPr>
      <w:bookmarkStart w:id="118" w:name="_Toc405615054"/>
      <w:bookmarkStart w:id="119" w:name="_Toc407161202"/>
      <w:r>
        <w:t>6.2. Badania i pomiary w czasie wykonywania robót ziemnych</w:t>
      </w:r>
      <w:bookmarkEnd w:id="118"/>
      <w:bookmarkEnd w:id="119"/>
    </w:p>
    <w:p w:rsidR="00CD292D" w:rsidRDefault="00CD292D" w:rsidP="00CD292D">
      <w:pPr>
        <w:pStyle w:val="Standardowytekst"/>
        <w:keepNext/>
      </w:pPr>
      <w:r>
        <w:rPr>
          <w:b/>
        </w:rPr>
        <w:t xml:space="preserve">6.2.1. </w:t>
      </w:r>
      <w:r>
        <w:t>Sprawdzenie odwodnienia</w:t>
      </w:r>
    </w:p>
    <w:p w:rsidR="00CD292D" w:rsidRDefault="00CD292D" w:rsidP="00CD292D">
      <w:pPr>
        <w:pStyle w:val="Standardowytekst"/>
      </w:pPr>
      <w:r>
        <w:tab/>
        <w:t>Sprawdzenie odwodnienia korpusu ziemnego polega na kontroli zgodności z wymaganiami specyfikacji określonymi w pkcie 5 oraz z dokumentacją projektową.</w:t>
      </w:r>
    </w:p>
    <w:p w:rsidR="00CD292D" w:rsidRDefault="00CD292D" w:rsidP="00CD292D">
      <w:pPr>
        <w:pStyle w:val="Standardowytekst"/>
      </w:pPr>
      <w:r>
        <w:tab/>
        <w:t>Szczególną uwagę należy zwrócić na:</w:t>
      </w:r>
    </w:p>
    <w:p w:rsidR="00CD292D" w:rsidRDefault="00CD292D" w:rsidP="00CD292D">
      <w:pPr>
        <w:pStyle w:val="Standardowytekst"/>
      </w:pPr>
      <w:r>
        <w:t>- właściwe ujęcie i odprowadzenie wód opadowych,</w:t>
      </w:r>
    </w:p>
    <w:p w:rsidR="00CD292D" w:rsidRDefault="00CD292D" w:rsidP="00CD292D">
      <w:pPr>
        <w:pStyle w:val="Standardowytekst"/>
      </w:pPr>
      <w:r>
        <w:t>- właściwe ujęcie i odprowadzenie wysięków wodnych.</w:t>
      </w:r>
    </w:p>
    <w:p w:rsidR="00CD292D" w:rsidRDefault="00CD292D" w:rsidP="00CD292D">
      <w:pPr>
        <w:pStyle w:val="Standardowytekst"/>
        <w:spacing w:before="120" w:after="120"/>
      </w:pPr>
      <w:r>
        <w:rPr>
          <w:b/>
        </w:rPr>
        <w:t xml:space="preserve">6.2.2. </w:t>
      </w:r>
      <w:r>
        <w:t>Sprawdzenie jakości wykonania robót</w:t>
      </w:r>
    </w:p>
    <w:p w:rsidR="00CD292D" w:rsidRDefault="00CD292D" w:rsidP="00CD292D">
      <w:pPr>
        <w:pStyle w:val="Standardowytekst"/>
      </w:pPr>
      <w:r>
        <w:tab/>
        <w:t>Czynności wchodzące w zakres sprawdzenia jakości wykonania robót określono w pkcie 6 OST D-02.01.01, D-02.02.01 oraz D-02.03.01.</w:t>
      </w:r>
    </w:p>
    <w:p w:rsidR="00CD292D" w:rsidRDefault="00CD292D" w:rsidP="00CD292D">
      <w:pPr>
        <w:pStyle w:val="Nagwek2"/>
      </w:pPr>
      <w:bookmarkStart w:id="120" w:name="_Toc405615055"/>
      <w:bookmarkStart w:id="121" w:name="_Toc407161203"/>
      <w:r>
        <w:t>6.3. Badania do odbioru korpusu ziemnego</w:t>
      </w:r>
      <w:bookmarkEnd w:id="120"/>
      <w:bookmarkEnd w:id="121"/>
    </w:p>
    <w:p w:rsidR="00CD292D" w:rsidRDefault="00CD292D" w:rsidP="00CD292D">
      <w:pPr>
        <w:pStyle w:val="Standardowytekst"/>
        <w:spacing w:after="120"/>
      </w:pPr>
      <w:r>
        <w:rPr>
          <w:b/>
        </w:rPr>
        <w:t xml:space="preserve">6.3.1. </w:t>
      </w:r>
      <w:r>
        <w:t>Częstotliwość oraz zakres badań i pomiarów</w:t>
      </w:r>
    </w:p>
    <w:p w:rsidR="00CD292D" w:rsidRDefault="00CD292D" w:rsidP="00CD292D">
      <w:pPr>
        <w:pStyle w:val="Standardowytekst"/>
      </w:pPr>
      <w:r>
        <w:tab/>
        <w:t>Częstotliwość oraz zakres badań i pomiarów do odbioru korpusu ziemnego podaje tablica 2.</w:t>
      </w:r>
    </w:p>
    <w:p w:rsidR="00CD292D" w:rsidRDefault="00CD292D" w:rsidP="00CD292D">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96"/>
        <w:gridCol w:w="2500"/>
        <w:gridCol w:w="4514"/>
      </w:tblGrid>
      <w:tr w:rsidR="00CD292D" w:rsidTr="00CD292D">
        <w:tc>
          <w:tcPr>
            <w:tcW w:w="496" w:type="dxa"/>
            <w:tcBorders>
              <w:top w:val="single" w:sz="6" w:space="0" w:color="auto"/>
              <w:left w:val="single" w:sz="6" w:space="0" w:color="auto"/>
              <w:bottom w:val="double" w:sz="6" w:space="0" w:color="auto"/>
              <w:right w:val="single" w:sz="6" w:space="0" w:color="auto"/>
            </w:tcBorders>
            <w:noWrap/>
            <w:hideMark/>
          </w:tcPr>
          <w:p w:rsidR="00CD292D" w:rsidRDefault="00CD292D">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CD292D" w:rsidRDefault="00CD292D">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CD292D" w:rsidRDefault="00CD292D">
            <w:pPr>
              <w:pStyle w:val="Standardowytekst"/>
              <w:spacing w:before="120" w:after="120"/>
              <w:jc w:val="center"/>
            </w:pPr>
            <w:r>
              <w:t>Minimalna częstotliwość badań i pomiarów</w:t>
            </w:r>
          </w:p>
        </w:tc>
      </w:tr>
      <w:tr w:rsidR="00CD292D" w:rsidTr="00CD292D">
        <w:tc>
          <w:tcPr>
            <w:tcW w:w="496" w:type="dxa"/>
            <w:tcBorders>
              <w:top w:val="nil"/>
              <w:left w:val="single" w:sz="6" w:space="0" w:color="auto"/>
              <w:bottom w:val="single" w:sz="6" w:space="0" w:color="auto"/>
              <w:right w:val="single" w:sz="6" w:space="0" w:color="auto"/>
            </w:tcBorders>
            <w:noWrap/>
            <w:hideMark/>
          </w:tcPr>
          <w:p w:rsidR="00CD292D" w:rsidRDefault="00CD292D">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CD292D" w:rsidRDefault="00CD292D">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CD292D" w:rsidRDefault="00CD292D">
            <w:pPr>
              <w:pStyle w:val="Standardowytekst"/>
            </w:pPr>
            <w:r>
              <w:t>Pomiar taśmą, szablonem, łatą o długości 3 m i poziomicą lub niwelatorem, w odstępach co 200 m na</w:t>
            </w:r>
          </w:p>
          <w:p w:rsidR="00CD292D" w:rsidRDefault="00CD292D">
            <w:pPr>
              <w:pStyle w:val="Standardowytekst"/>
            </w:pPr>
            <w:r>
              <w:lastRenderedPageBreak/>
              <w:t xml:space="preserve">prostych, w punktach głównych łuku, co 100 m na łukach o R </w:t>
            </w:r>
            <w:r>
              <w:sym w:font="Symbol" w:char="F0B3"/>
            </w:r>
            <w:r>
              <w:t xml:space="preserve"> 100 m co 50 m na łukach o R </w:t>
            </w:r>
            <w:r>
              <w:sym w:font="Symbol" w:char="F03C"/>
            </w:r>
            <w:r>
              <w:t xml:space="preserve"> 100 m</w:t>
            </w:r>
          </w:p>
          <w:p w:rsidR="00CD292D" w:rsidRDefault="00CD292D">
            <w:pPr>
              <w:pStyle w:val="Standardowytekst"/>
            </w:pPr>
            <w:r>
              <w:t>oraz w miejscach, które budzą wątpliwości</w:t>
            </w:r>
          </w:p>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CD292D" w:rsidRDefault="00CD292D"/>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center"/>
            </w:pPr>
            <w:r>
              <w:lastRenderedPageBreak/>
              <w:t>3</w:t>
            </w:r>
          </w:p>
        </w:tc>
        <w:tc>
          <w:tcPr>
            <w:tcW w:w="2500"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CD292D" w:rsidRDefault="00CD292D"/>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CD292D" w:rsidRDefault="00CD292D"/>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CD292D" w:rsidRDefault="00CD292D"/>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center"/>
            </w:pPr>
            <w:r>
              <w:t>6</w:t>
            </w:r>
          </w:p>
        </w:tc>
        <w:tc>
          <w:tcPr>
            <w:tcW w:w="2500"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CD292D" w:rsidRDefault="00CD292D"/>
        </w:tc>
      </w:tr>
      <w:tr w:rsidR="00CD292D" w:rsidTr="00CD292D">
        <w:tc>
          <w:tcPr>
            <w:tcW w:w="496" w:type="dxa"/>
            <w:tcBorders>
              <w:top w:val="nil"/>
              <w:left w:val="single" w:sz="6" w:space="0" w:color="auto"/>
              <w:bottom w:val="single" w:sz="6" w:space="0" w:color="auto"/>
              <w:right w:val="single" w:sz="6" w:space="0" w:color="auto"/>
            </w:tcBorders>
            <w:noWrap/>
            <w:hideMark/>
          </w:tcPr>
          <w:p w:rsidR="00CD292D" w:rsidRDefault="00CD292D">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CD292D" w:rsidRDefault="00CD292D">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CD292D" w:rsidRDefault="00CD292D">
            <w:pPr>
              <w:pStyle w:val="Standardowytekst"/>
            </w:pPr>
            <w:r>
              <w:t>Pomiar niwelatorem rzędnych w odstępach co 200 m oraz w punktach wątpliwych</w:t>
            </w:r>
          </w:p>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CD292D" w:rsidRDefault="00CD292D">
            <w:pPr>
              <w:pStyle w:val="Standardowytekst"/>
            </w:pPr>
            <w:r>
              <w:t>Wskaźnik zagęszczenia określać dla każdej ułożonej warstwy lecz nie rzadziej niż w trzech punktach na 1000 m</w:t>
            </w:r>
            <w:r>
              <w:rPr>
                <w:vertAlign w:val="superscript"/>
              </w:rPr>
              <w:t>2</w:t>
            </w:r>
            <w:r>
              <w:t xml:space="preserve"> warstwy</w:t>
            </w:r>
          </w:p>
        </w:tc>
      </w:tr>
    </w:tbl>
    <w:p w:rsidR="00CD292D" w:rsidRDefault="00CD292D" w:rsidP="00CD292D">
      <w:pPr>
        <w:pStyle w:val="Standardowytekst"/>
      </w:pPr>
    </w:p>
    <w:p w:rsidR="00CD292D" w:rsidRDefault="00CD292D" w:rsidP="00CD292D">
      <w:pPr>
        <w:pStyle w:val="Standardowytekst"/>
        <w:spacing w:before="120" w:after="120"/>
      </w:pPr>
      <w:r>
        <w:rPr>
          <w:b/>
        </w:rPr>
        <w:t xml:space="preserve">6.3.2. </w:t>
      </w:r>
      <w:r>
        <w:t>Szerokość korpusu ziemnego</w:t>
      </w:r>
    </w:p>
    <w:p w:rsidR="00CD292D" w:rsidRDefault="00CD292D" w:rsidP="00CD292D">
      <w:pPr>
        <w:pStyle w:val="Standardowytekst"/>
      </w:pPr>
      <w:r>
        <w:tab/>
        <w:t xml:space="preserve">Szerokość korpusu ziemnego nie może różnić się od szerokości projektowanej o więcej niż </w:t>
      </w:r>
      <w:r>
        <w:sym w:font="Symbol" w:char="F0B1"/>
      </w:r>
      <w:r>
        <w:t xml:space="preserve"> 10 cm.</w:t>
      </w:r>
    </w:p>
    <w:p w:rsidR="00CD292D" w:rsidRDefault="00CD292D" w:rsidP="00CD292D">
      <w:pPr>
        <w:pStyle w:val="Standardowytekst"/>
        <w:keepNext/>
        <w:spacing w:before="120" w:after="120"/>
      </w:pPr>
      <w:r>
        <w:rPr>
          <w:b/>
        </w:rPr>
        <w:t xml:space="preserve">6.3.3. </w:t>
      </w:r>
      <w:r>
        <w:t>Szerokość dna rowów</w:t>
      </w:r>
    </w:p>
    <w:p w:rsidR="00CD292D" w:rsidRDefault="00CD292D" w:rsidP="00CD292D">
      <w:pPr>
        <w:pStyle w:val="Standardowytekst"/>
        <w:spacing w:after="120"/>
      </w:pPr>
      <w:r>
        <w:tab/>
        <w:t xml:space="preserve">Szerokość dna rowów nie może różnić się od szerokości projektowanej o więcej niż </w:t>
      </w:r>
      <w:r>
        <w:sym w:font="Symbol" w:char="F0B1"/>
      </w:r>
      <w:r>
        <w:t xml:space="preserve"> 5 cm.</w:t>
      </w:r>
    </w:p>
    <w:p w:rsidR="00CD292D" w:rsidRDefault="00CD292D" w:rsidP="00CD292D">
      <w:pPr>
        <w:pStyle w:val="Standardowytekst"/>
        <w:keepNext/>
        <w:spacing w:after="120"/>
      </w:pPr>
      <w:r>
        <w:rPr>
          <w:b/>
        </w:rPr>
        <w:t xml:space="preserve">6.3.4. </w:t>
      </w:r>
      <w:r>
        <w:t>Rzędne korony korpusu ziemnego</w:t>
      </w:r>
    </w:p>
    <w:p w:rsidR="00CD292D" w:rsidRDefault="00CD292D" w:rsidP="00CD292D">
      <w:pPr>
        <w:pStyle w:val="Standardowytekst"/>
      </w:pPr>
      <w:r>
        <w:tab/>
        <w:t>Rzędne korony korpusu ziemnego nie mogą różnić się od rzędnych projektowanych o więcej niż -3 cm lub +1 cm.</w:t>
      </w:r>
    </w:p>
    <w:p w:rsidR="00CD292D" w:rsidRDefault="00CD292D" w:rsidP="00CD292D">
      <w:pPr>
        <w:pStyle w:val="Standardowytekst"/>
        <w:spacing w:before="120" w:after="120"/>
      </w:pPr>
      <w:r>
        <w:rPr>
          <w:b/>
        </w:rPr>
        <w:t xml:space="preserve">6.3.5. </w:t>
      </w:r>
      <w:r>
        <w:t>Pochylenie skarp</w:t>
      </w:r>
    </w:p>
    <w:p w:rsidR="00CD292D" w:rsidRDefault="00CD292D" w:rsidP="00CD292D">
      <w:pPr>
        <w:pStyle w:val="Standardowytekst"/>
      </w:pPr>
      <w:r>
        <w:tab/>
        <w:t>Pochylenie skarp nie może różnić się od pochylenia projektowanego o więcej niż 10% wartości pochylenia wyrażonego tangensem kąta.</w:t>
      </w:r>
    </w:p>
    <w:p w:rsidR="00CD292D" w:rsidRDefault="00CD292D" w:rsidP="00CD292D">
      <w:pPr>
        <w:pStyle w:val="Standardowytekst"/>
        <w:spacing w:before="120" w:after="120"/>
      </w:pPr>
      <w:r>
        <w:rPr>
          <w:b/>
        </w:rPr>
        <w:t xml:space="preserve">6.3.6. </w:t>
      </w:r>
      <w:r>
        <w:t>Równość korony korpusu</w:t>
      </w:r>
    </w:p>
    <w:p w:rsidR="00CD292D" w:rsidRDefault="00CD292D" w:rsidP="00CD292D">
      <w:pPr>
        <w:pStyle w:val="Standardowytekst"/>
      </w:pPr>
      <w:r>
        <w:tab/>
        <w:t>Nierówności powierzchni korpusu ziemnego mierzone łatą 3-metrową, nie mogą przekraczać 3 cm.</w:t>
      </w:r>
    </w:p>
    <w:p w:rsidR="00CD292D" w:rsidRDefault="00CD292D" w:rsidP="00CD292D">
      <w:pPr>
        <w:pStyle w:val="Standardowytekst"/>
        <w:spacing w:before="120" w:after="120"/>
      </w:pPr>
      <w:r>
        <w:rPr>
          <w:b/>
        </w:rPr>
        <w:t xml:space="preserve">6.3.7. </w:t>
      </w:r>
      <w:r>
        <w:t>Równość skarp</w:t>
      </w:r>
    </w:p>
    <w:p w:rsidR="00CD292D" w:rsidRDefault="00CD292D" w:rsidP="00CD292D">
      <w:pPr>
        <w:pStyle w:val="Standardowytekst"/>
      </w:pPr>
      <w:r>
        <w:tab/>
        <w:t xml:space="preserve">Nierówności skarp, mierzone łatą 3-metrową, nie mogą przekraczać </w:t>
      </w:r>
      <w:r>
        <w:sym w:font="Symbol" w:char="F0B1"/>
      </w:r>
      <w:r>
        <w:t xml:space="preserve"> 10 cm.</w:t>
      </w:r>
    </w:p>
    <w:p w:rsidR="00CD292D" w:rsidRDefault="00CD292D" w:rsidP="00CD292D">
      <w:pPr>
        <w:pStyle w:val="Standardowytekst"/>
        <w:spacing w:before="120" w:after="120"/>
      </w:pPr>
      <w:r>
        <w:rPr>
          <w:b/>
        </w:rPr>
        <w:t xml:space="preserve">6.3.8. </w:t>
      </w:r>
      <w:r>
        <w:t>Spadek podłużny korony korpusu lub dna rowu</w:t>
      </w:r>
    </w:p>
    <w:p w:rsidR="00CD292D" w:rsidRDefault="00CD292D" w:rsidP="00CD292D">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CD292D" w:rsidRDefault="00CD292D" w:rsidP="00CD292D">
      <w:pPr>
        <w:pStyle w:val="Standardowytekst"/>
        <w:spacing w:before="120" w:after="120"/>
      </w:pPr>
      <w:r>
        <w:rPr>
          <w:b/>
        </w:rPr>
        <w:t xml:space="preserve">6.3.9. </w:t>
      </w:r>
      <w:r>
        <w:t>Zagęszczenie gruntu</w:t>
      </w:r>
    </w:p>
    <w:p w:rsidR="00CD292D" w:rsidRDefault="00CD292D" w:rsidP="00CD292D">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CD292D" w:rsidRDefault="00CD292D" w:rsidP="00CD292D">
      <w:pPr>
        <w:pStyle w:val="Standardowytekst"/>
        <w:spacing w:before="120" w:after="120"/>
        <w:rPr>
          <w:b/>
        </w:rPr>
      </w:pPr>
      <w:r>
        <w:rPr>
          <w:b/>
        </w:rPr>
        <w:t>6.4. Badania geosyntetyków</w:t>
      </w:r>
    </w:p>
    <w:p w:rsidR="00CD292D" w:rsidRDefault="00CD292D" w:rsidP="00CD292D">
      <w:pPr>
        <w:ind w:firstLine="709"/>
      </w:pPr>
      <w: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SST.</w:t>
      </w:r>
    </w:p>
    <w:p w:rsidR="00CD292D" w:rsidRDefault="00CD292D" w:rsidP="00CD292D">
      <w:pPr>
        <w:pStyle w:val="Standardowytekst"/>
      </w:pPr>
    </w:p>
    <w:p w:rsidR="00CD292D" w:rsidRDefault="00CD292D" w:rsidP="00CD292D">
      <w:pPr>
        <w:pStyle w:val="Nagwek2"/>
      </w:pPr>
      <w:bookmarkStart w:id="122" w:name="_Toc405615056"/>
      <w:bookmarkStart w:id="123" w:name="_Toc407161204"/>
      <w:r>
        <w:t>6.5. Zasady postępowania z wadliwie wykonanymi robotami</w:t>
      </w:r>
      <w:bookmarkEnd w:id="122"/>
      <w:bookmarkEnd w:id="123"/>
    </w:p>
    <w:p w:rsidR="00CD292D" w:rsidRDefault="00CD292D" w:rsidP="00CD292D">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CD292D" w:rsidRDefault="00CD292D" w:rsidP="00CD292D">
      <w:pPr>
        <w:pStyle w:val="Standardowytekst"/>
      </w:pPr>
      <w:r>
        <w:lastRenderedPageBreak/>
        <w:tab/>
        <w:t>Wszystkie roboty, które wykazują większe odchylenia cech od określonych w punktach 5 i 6 specyfikacji powinny być ponownie wykonane przez Wykonawcę na jego koszt.</w:t>
      </w:r>
    </w:p>
    <w:p w:rsidR="00CD292D" w:rsidRDefault="00CD292D" w:rsidP="00CD292D">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CD292D" w:rsidRDefault="00CD292D" w:rsidP="00CD292D">
      <w:pPr>
        <w:pStyle w:val="Nagwek1"/>
        <w:rPr>
          <w:color w:val="008000"/>
        </w:rPr>
      </w:pPr>
      <w:bookmarkStart w:id="124" w:name="_7._obmiar_robót_3"/>
      <w:bookmarkStart w:id="125" w:name="_Toc419000095"/>
      <w:bookmarkStart w:id="126" w:name="_Toc418998850"/>
      <w:bookmarkStart w:id="127" w:name="_Toc418998494"/>
      <w:bookmarkStart w:id="128" w:name="_Toc418997084"/>
      <w:bookmarkStart w:id="129" w:name="_Toc418996697"/>
      <w:bookmarkStart w:id="130" w:name="_Toc418996328"/>
      <w:bookmarkStart w:id="131" w:name="_Toc407161205"/>
      <w:bookmarkStart w:id="132" w:name="_Toc405615057"/>
      <w:bookmarkEnd w:id="124"/>
      <w:r>
        <w:rPr>
          <w:color w:val="008000"/>
        </w:rPr>
        <w:t>7. obmiar robót</w:t>
      </w:r>
      <w:bookmarkEnd w:id="125"/>
      <w:bookmarkEnd w:id="126"/>
      <w:bookmarkEnd w:id="127"/>
      <w:bookmarkEnd w:id="128"/>
      <w:bookmarkEnd w:id="129"/>
      <w:bookmarkEnd w:id="130"/>
      <w:bookmarkEnd w:id="131"/>
      <w:bookmarkEnd w:id="132"/>
    </w:p>
    <w:p w:rsidR="00CD292D" w:rsidRDefault="00CD292D" w:rsidP="00CD292D">
      <w:pPr>
        <w:pStyle w:val="Nagwek2"/>
      </w:pPr>
      <w:bookmarkStart w:id="133" w:name="_Toc405615058"/>
      <w:bookmarkStart w:id="134" w:name="_Toc407161206"/>
      <w:r>
        <w:t>7.1. Ogólne zasady obmiaru robót</w:t>
      </w:r>
      <w:bookmarkEnd w:id="133"/>
      <w:bookmarkEnd w:id="134"/>
    </w:p>
    <w:p w:rsidR="00CD292D" w:rsidRDefault="00CD292D" w:rsidP="00CD292D">
      <w:pPr>
        <w:pStyle w:val="Standardowytekst"/>
      </w:pPr>
      <w:r>
        <w:tab/>
        <w:t>Ogólne zasady obmiaru robót podano w OST D-M-00.00.00 „Wymagania ogólne” pkt 7.</w:t>
      </w:r>
    </w:p>
    <w:p w:rsidR="00CD292D" w:rsidRDefault="00CD292D" w:rsidP="00CD292D">
      <w:pPr>
        <w:pStyle w:val="Nagwek2"/>
      </w:pPr>
      <w:bookmarkStart w:id="135" w:name="_Toc405615059"/>
      <w:bookmarkStart w:id="136" w:name="_Toc407161207"/>
      <w:r>
        <w:t>7.2. Obmiar robót ziemnych</w:t>
      </w:r>
      <w:bookmarkEnd w:id="135"/>
      <w:bookmarkEnd w:id="136"/>
    </w:p>
    <w:p w:rsidR="00CD292D" w:rsidRDefault="00CD292D" w:rsidP="00CD292D">
      <w:pPr>
        <w:pStyle w:val="Standardowytekst"/>
        <w:spacing w:after="120"/>
      </w:pPr>
      <w:r>
        <w:tab/>
        <w:t>Jednostka obmiarową jest m</w:t>
      </w:r>
      <w:r>
        <w:rPr>
          <w:vertAlign w:val="superscript"/>
        </w:rPr>
        <w:t>3</w:t>
      </w:r>
      <w:r>
        <w:t xml:space="preserve"> (metr sześcienny) wykonanych robót ziemnych.</w:t>
      </w:r>
    </w:p>
    <w:p w:rsidR="00CD292D" w:rsidRDefault="00CD292D" w:rsidP="00CD292D">
      <w:pPr>
        <w:pStyle w:val="Nagwek1"/>
        <w:rPr>
          <w:color w:val="008000"/>
        </w:rPr>
      </w:pPr>
      <w:bookmarkStart w:id="137" w:name="_8._odbiór_robót"/>
      <w:bookmarkStart w:id="138" w:name="_Toc419000096"/>
      <w:bookmarkStart w:id="139" w:name="_Toc418998851"/>
      <w:bookmarkStart w:id="140" w:name="_Toc418998495"/>
      <w:bookmarkStart w:id="141" w:name="_Toc418997085"/>
      <w:bookmarkStart w:id="142" w:name="_Toc418996698"/>
      <w:bookmarkStart w:id="143" w:name="_Toc418996329"/>
      <w:bookmarkStart w:id="144" w:name="_Toc407161208"/>
      <w:bookmarkStart w:id="145" w:name="_Toc405615060"/>
      <w:bookmarkEnd w:id="137"/>
      <w:r>
        <w:rPr>
          <w:color w:val="008000"/>
        </w:rPr>
        <w:t>8. odbiór robót</w:t>
      </w:r>
      <w:bookmarkEnd w:id="138"/>
      <w:bookmarkEnd w:id="139"/>
      <w:bookmarkEnd w:id="140"/>
      <w:bookmarkEnd w:id="141"/>
      <w:bookmarkEnd w:id="142"/>
      <w:bookmarkEnd w:id="143"/>
      <w:bookmarkEnd w:id="144"/>
      <w:bookmarkEnd w:id="145"/>
    </w:p>
    <w:p w:rsidR="00CD292D" w:rsidRDefault="00CD292D" w:rsidP="00CD292D">
      <w:pPr>
        <w:pStyle w:val="Standardowytekst"/>
      </w:pPr>
      <w:r>
        <w:tab/>
        <w:t>Ogólne zasady odbioru robót podano w OST D-M-00.00.00 „Wymagania ogólne” pkt 8.</w:t>
      </w:r>
    </w:p>
    <w:p w:rsidR="00CD292D" w:rsidRDefault="00CD292D" w:rsidP="00CD292D">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CD292D" w:rsidRDefault="00CD292D" w:rsidP="00CD292D">
      <w:pPr>
        <w:pStyle w:val="Nagwek1"/>
        <w:rPr>
          <w:color w:val="008000"/>
        </w:rPr>
      </w:pPr>
      <w:bookmarkStart w:id="146" w:name="_9._podstawa_płatności"/>
      <w:bookmarkStart w:id="147" w:name="_Toc419000097"/>
      <w:bookmarkStart w:id="148" w:name="_Toc418998852"/>
      <w:bookmarkStart w:id="149" w:name="_Toc418998496"/>
      <w:bookmarkStart w:id="150" w:name="_Toc418997086"/>
      <w:bookmarkStart w:id="151" w:name="_Toc418996699"/>
      <w:bookmarkStart w:id="152" w:name="_Toc418996330"/>
      <w:bookmarkStart w:id="153" w:name="_Toc407161209"/>
      <w:bookmarkStart w:id="154" w:name="_Toc405615061"/>
      <w:bookmarkEnd w:id="146"/>
      <w:r>
        <w:rPr>
          <w:color w:val="008000"/>
        </w:rPr>
        <w:t>9. podstawa płatności</w:t>
      </w:r>
      <w:bookmarkEnd w:id="147"/>
      <w:bookmarkEnd w:id="148"/>
      <w:bookmarkEnd w:id="149"/>
      <w:bookmarkEnd w:id="150"/>
      <w:bookmarkEnd w:id="151"/>
      <w:bookmarkEnd w:id="152"/>
      <w:bookmarkEnd w:id="153"/>
      <w:bookmarkEnd w:id="154"/>
    </w:p>
    <w:p w:rsidR="00CD292D" w:rsidRDefault="00CD292D" w:rsidP="00CD292D">
      <w:pPr>
        <w:pStyle w:val="Standardowytekst"/>
      </w:pPr>
      <w:r>
        <w:tab/>
        <w:t>Ogólne ustalenia dotyczące podstawy płatności podano w OST D-M-00.00.00 „Wymagania ogólne” pkt 9.</w:t>
      </w:r>
    </w:p>
    <w:p w:rsidR="00CD292D" w:rsidRDefault="00CD292D" w:rsidP="00CD292D">
      <w:pPr>
        <w:pStyle w:val="Standardowytekst"/>
        <w:spacing w:after="120"/>
      </w:pPr>
      <w:r>
        <w:tab/>
        <w:t>Zakres czynności objętych ceną jednostkową podano w OST D-02.01.01, D-02.02.01 oraz D-02.03.01 pkt 9.</w:t>
      </w:r>
    </w:p>
    <w:p w:rsidR="00CD292D" w:rsidRDefault="00CD292D" w:rsidP="00CD292D">
      <w:pPr>
        <w:pStyle w:val="Nagwek1"/>
        <w:rPr>
          <w:color w:val="008000"/>
        </w:rPr>
      </w:pPr>
      <w:bookmarkStart w:id="155" w:name="_10._przepisy_związane"/>
      <w:bookmarkStart w:id="156" w:name="_Toc419000098"/>
      <w:bookmarkStart w:id="157" w:name="_Toc418998853"/>
      <w:bookmarkStart w:id="158" w:name="_Toc418998497"/>
      <w:bookmarkStart w:id="159" w:name="_Toc418997087"/>
      <w:bookmarkStart w:id="160" w:name="_Toc418996700"/>
      <w:bookmarkStart w:id="161" w:name="_Toc418996331"/>
      <w:bookmarkStart w:id="162" w:name="_Toc418994924"/>
      <w:bookmarkStart w:id="163" w:name="_Toc407161210"/>
      <w:bookmarkStart w:id="164" w:name="_Toc405615062"/>
      <w:bookmarkEnd w:id="155"/>
      <w:r>
        <w:rPr>
          <w:color w:val="008000"/>
        </w:rPr>
        <w:t>10. przepisy związane</w:t>
      </w:r>
      <w:bookmarkEnd w:id="156"/>
      <w:bookmarkEnd w:id="157"/>
      <w:bookmarkEnd w:id="158"/>
      <w:bookmarkEnd w:id="159"/>
      <w:bookmarkEnd w:id="160"/>
      <w:bookmarkEnd w:id="161"/>
      <w:bookmarkEnd w:id="162"/>
      <w:bookmarkEnd w:id="163"/>
      <w:bookmarkEnd w:id="164"/>
    </w:p>
    <w:p w:rsidR="00CD292D" w:rsidRDefault="00CD292D" w:rsidP="00CD292D">
      <w:pPr>
        <w:pStyle w:val="Nagwek2"/>
      </w:pPr>
      <w:bookmarkStart w:id="165" w:name="_Toc405615063"/>
      <w:bookmarkStart w:id="166" w:name="_Toc407161211"/>
      <w:r>
        <w:t>10.1. Normy</w:t>
      </w:r>
      <w:bookmarkEnd w:id="165"/>
      <w:bookmarkEnd w:id="166"/>
    </w:p>
    <w:tbl>
      <w:tblPr>
        <w:tblW w:w="0" w:type="auto"/>
        <w:tblCellMar>
          <w:left w:w="70" w:type="dxa"/>
          <w:right w:w="70" w:type="dxa"/>
        </w:tblCellMar>
        <w:tblLook w:val="04A0" w:firstRow="1" w:lastRow="0" w:firstColumn="1" w:lastColumn="0" w:noHBand="0" w:noVBand="1"/>
      </w:tblPr>
      <w:tblGrid>
        <w:gridCol w:w="354"/>
        <w:gridCol w:w="1879"/>
        <w:gridCol w:w="6406"/>
      </w:tblGrid>
      <w:tr w:rsidR="00CD292D" w:rsidTr="00CD292D">
        <w:tc>
          <w:tcPr>
            <w:tcW w:w="354" w:type="dxa"/>
            <w:hideMark/>
          </w:tcPr>
          <w:p w:rsidR="00CD292D" w:rsidRDefault="00CD292D">
            <w:pPr>
              <w:pStyle w:val="Standardowytekst"/>
              <w:jc w:val="center"/>
            </w:pPr>
            <w:r>
              <w:t>1.</w:t>
            </w:r>
          </w:p>
        </w:tc>
        <w:tc>
          <w:tcPr>
            <w:tcW w:w="1879" w:type="dxa"/>
            <w:hideMark/>
          </w:tcPr>
          <w:p w:rsidR="00CD292D" w:rsidRDefault="00CD292D">
            <w:pPr>
              <w:pStyle w:val="Standardowytekst"/>
            </w:pPr>
            <w:r>
              <w:t>PN-B-02480:1986</w:t>
            </w:r>
          </w:p>
        </w:tc>
        <w:tc>
          <w:tcPr>
            <w:tcW w:w="6406" w:type="dxa"/>
            <w:hideMark/>
          </w:tcPr>
          <w:p w:rsidR="00CD292D" w:rsidRDefault="00CD292D">
            <w:pPr>
              <w:pStyle w:val="Standardowytekst"/>
            </w:pPr>
            <w:r>
              <w:t>Grunty budowlane. Określenia. Symbole. Podział i opis gruntów</w:t>
            </w:r>
          </w:p>
        </w:tc>
      </w:tr>
      <w:tr w:rsidR="00CD292D" w:rsidTr="00CD292D">
        <w:tc>
          <w:tcPr>
            <w:tcW w:w="354" w:type="dxa"/>
            <w:hideMark/>
          </w:tcPr>
          <w:p w:rsidR="00CD292D" w:rsidRDefault="00CD292D">
            <w:pPr>
              <w:pStyle w:val="Standardowytekst"/>
              <w:jc w:val="center"/>
            </w:pPr>
            <w:r>
              <w:t>2.</w:t>
            </w:r>
          </w:p>
        </w:tc>
        <w:tc>
          <w:tcPr>
            <w:tcW w:w="1879" w:type="dxa"/>
            <w:hideMark/>
          </w:tcPr>
          <w:p w:rsidR="00CD292D" w:rsidRDefault="00CD292D">
            <w:pPr>
              <w:pStyle w:val="Standardowytekst"/>
            </w:pPr>
            <w:r>
              <w:t>PN-B-04481:1988</w:t>
            </w:r>
          </w:p>
        </w:tc>
        <w:tc>
          <w:tcPr>
            <w:tcW w:w="6406" w:type="dxa"/>
            <w:hideMark/>
          </w:tcPr>
          <w:p w:rsidR="00CD292D" w:rsidRDefault="00CD292D">
            <w:pPr>
              <w:pStyle w:val="Standardowytekst"/>
            </w:pPr>
            <w:r>
              <w:t>Grunty budowlane. Badania próbek gruntów</w:t>
            </w:r>
          </w:p>
        </w:tc>
      </w:tr>
      <w:tr w:rsidR="00CD292D" w:rsidTr="00CD292D">
        <w:tc>
          <w:tcPr>
            <w:tcW w:w="354" w:type="dxa"/>
            <w:hideMark/>
          </w:tcPr>
          <w:p w:rsidR="00CD292D" w:rsidRDefault="00CD292D">
            <w:pPr>
              <w:pStyle w:val="Standardowytekst"/>
              <w:jc w:val="center"/>
            </w:pPr>
            <w:r>
              <w:t>3.</w:t>
            </w:r>
          </w:p>
        </w:tc>
        <w:tc>
          <w:tcPr>
            <w:tcW w:w="1879" w:type="dxa"/>
            <w:hideMark/>
          </w:tcPr>
          <w:p w:rsidR="00CD292D" w:rsidRDefault="00CD292D">
            <w:pPr>
              <w:pStyle w:val="Standardowytekst"/>
            </w:pPr>
            <w:r>
              <w:t>PN-B-04493:1960</w:t>
            </w:r>
          </w:p>
        </w:tc>
        <w:tc>
          <w:tcPr>
            <w:tcW w:w="6406" w:type="dxa"/>
            <w:hideMark/>
          </w:tcPr>
          <w:p w:rsidR="00CD292D" w:rsidRDefault="00CD292D">
            <w:pPr>
              <w:pStyle w:val="Standardowytekst"/>
            </w:pPr>
            <w:r>
              <w:t>Grunty budowlane. Oznaczanie kapilarności biernej</w:t>
            </w:r>
          </w:p>
        </w:tc>
      </w:tr>
      <w:tr w:rsidR="00CD292D" w:rsidTr="00CD292D">
        <w:tc>
          <w:tcPr>
            <w:tcW w:w="354" w:type="dxa"/>
            <w:hideMark/>
          </w:tcPr>
          <w:p w:rsidR="00CD292D" w:rsidRDefault="00CD292D">
            <w:pPr>
              <w:pStyle w:val="Standardowytekst"/>
              <w:jc w:val="center"/>
            </w:pPr>
            <w:r>
              <w:t>4.</w:t>
            </w:r>
          </w:p>
        </w:tc>
        <w:tc>
          <w:tcPr>
            <w:tcW w:w="1879" w:type="dxa"/>
            <w:hideMark/>
          </w:tcPr>
          <w:p w:rsidR="00CD292D" w:rsidRDefault="00CD292D">
            <w:pPr>
              <w:pStyle w:val="Standardowytekst"/>
            </w:pPr>
            <w:r>
              <w:t>PN-S-02205:1998</w:t>
            </w:r>
          </w:p>
        </w:tc>
        <w:tc>
          <w:tcPr>
            <w:tcW w:w="6406" w:type="dxa"/>
            <w:hideMark/>
          </w:tcPr>
          <w:p w:rsidR="00CD292D" w:rsidRDefault="00CD292D">
            <w:pPr>
              <w:pStyle w:val="Standardowytekst"/>
            </w:pPr>
            <w:r>
              <w:t>Drogi samochodowe. Roboty ziemne. Wymagania i badania</w:t>
            </w:r>
          </w:p>
        </w:tc>
      </w:tr>
      <w:tr w:rsidR="00CD292D" w:rsidTr="00CD292D">
        <w:tc>
          <w:tcPr>
            <w:tcW w:w="354" w:type="dxa"/>
            <w:hideMark/>
          </w:tcPr>
          <w:p w:rsidR="00CD292D" w:rsidRDefault="00CD292D">
            <w:pPr>
              <w:pStyle w:val="Standardowytekst"/>
              <w:jc w:val="center"/>
            </w:pPr>
            <w:r>
              <w:t>5.</w:t>
            </w:r>
          </w:p>
        </w:tc>
        <w:tc>
          <w:tcPr>
            <w:tcW w:w="1879" w:type="dxa"/>
            <w:hideMark/>
          </w:tcPr>
          <w:p w:rsidR="00CD292D" w:rsidRDefault="00CD292D">
            <w:pPr>
              <w:pStyle w:val="Standardowytekst"/>
            </w:pPr>
            <w:r>
              <w:t>PN-ISO10318:1993</w:t>
            </w:r>
          </w:p>
        </w:tc>
        <w:tc>
          <w:tcPr>
            <w:tcW w:w="6406" w:type="dxa"/>
            <w:hideMark/>
          </w:tcPr>
          <w:p w:rsidR="00CD292D" w:rsidRDefault="00CD292D">
            <w:pPr>
              <w:pStyle w:val="Standardowytekst"/>
            </w:pPr>
            <w:r>
              <w:t>Geotekstylia – Terminologia</w:t>
            </w:r>
          </w:p>
        </w:tc>
      </w:tr>
      <w:tr w:rsidR="00CD292D" w:rsidTr="00CD292D">
        <w:tc>
          <w:tcPr>
            <w:tcW w:w="354" w:type="dxa"/>
            <w:hideMark/>
          </w:tcPr>
          <w:p w:rsidR="00CD292D" w:rsidRDefault="00CD292D">
            <w:pPr>
              <w:pStyle w:val="Standardowytekst"/>
              <w:jc w:val="center"/>
            </w:pPr>
            <w:r>
              <w:t>6.</w:t>
            </w:r>
          </w:p>
        </w:tc>
        <w:tc>
          <w:tcPr>
            <w:tcW w:w="1879" w:type="dxa"/>
            <w:hideMark/>
          </w:tcPr>
          <w:p w:rsidR="00CD292D" w:rsidRDefault="00CD292D">
            <w:pPr>
              <w:pStyle w:val="Standardowytekst"/>
            </w:pPr>
            <w:r>
              <w:t>PN-EN-963:1999</w:t>
            </w:r>
          </w:p>
        </w:tc>
        <w:tc>
          <w:tcPr>
            <w:tcW w:w="6406" w:type="dxa"/>
            <w:hideMark/>
          </w:tcPr>
          <w:p w:rsidR="00CD292D" w:rsidRDefault="00CD292D">
            <w:pPr>
              <w:pStyle w:val="Standardowytekst"/>
            </w:pPr>
            <w:r>
              <w:t>Geotekstylia i wyroby pokrewne</w:t>
            </w:r>
          </w:p>
        </w:tc>
      </w:tr>
      <w:tr w:rsidR="00CD292D" w:rsidTr="00CD292D">
        <w:tc>
          <w:tcPr>
            <w:tcW w:w="354" w:type="dxa"/>
            <w:hideMark/>
          </w:tcPr>
          <w:p w:rsidR="00CD292D" w:rsidRDefault="00CD292D">
            <w:pPr>
              <w:pStyle w:val="Standardowytekst"/>
              <w:jc w:val="center"/>
            </w:pPr>
            <w:r>
              <w:t>7.</w:t>
            </w:r>
          </w:p>
        </w:tc>
        <w:tc>
          <w:tcPr>
            <w:tcW w:w="1879" w:type="dxa"/>
            <w:hideMark/>
          </w:tcPr>
          <w:p w:rsidR="00CD292D" w:rsidRDefault="00CD292D">
            <w:pPr>
              <w:pStyle w:val="Standardowytekst"/>
            </w:pPr>
            <w:r>
              <w:t>BN-64/8931-01</w:t>
            </w:r>
          </w:p>
        </w:tc>
        <w:tc>
          <w:tcPr>
            <w:tcW w:w="6406" w:type="dxa"/>
            <w:hideMark/>
          </w:tcPr>
          <w:p w:rsidR="00CD292D" w:rsidRDefault="00CD292D">
            <w:pPr>
              <w:pStyle w:val="Standardowytekst"/>
            </w:pPr>
            <w:r>
              <w:t>Drogi samochodowe. Oznaczenie wskaźnika piaskowego</w:t>
            </w:r>
          </w:p>
        </w:tc>
      </w:tr>
      <w:tr w:rsidR="00CD292D" w:rsidTr="00CD292D">
        <w:tc>
          <w:tcPr>
            <w:tcW w:w="354" w:type="dxa"/>
            <w:hideMark/>
          </w:tcPr>
          <w:p w:rsidR="00CD292D" w:rsidRDefault="00CD292D">
            <w:pPr>
              <w:pStyle w:val="Standardowytekst"/>
              <w:jc w:val="center"/>
            </w:pPr>
            <w:r>
              <w:t>8.</w:t>
            </w:r>
          </w:p>
        </w:tc>
        <w:tc>
          <w:tcPr>
            <w:tcW w:w="1879" w:type="dxa"/>
            <w:hideMark/>
          </w:tcPr>
          <w:p w:rsidR="00CD292D" w:rsidRDefault="00CD292D">
            <w:pPr>
              <w:pStyle w:val="Standardowytekst"/>
            </w:pPr>
            <w:r>
              <w:t>BN-64/8931-02</w:t>
            </w:r>
          </w:p>
        </w:tc>
        <w:tc>
          <w:tcPr>
            <w:tcW w:w="6406" w:type="dxa"/>
            <w:hideMark/>
          </w:tcPr>
          <w:p w:rsidR="00CD292D" w:rsidRDefault="00CD292D">
            <w:pPr>
              <w:pStyle w:val="Standardowytekst"/>
            </w:pPr>
            <w:r>
              <w:t>Drogi samochodowe. Oznaczenie modułu odkształcenia nawierzchni podatnych i podłoża przez obciążenie płytą</w:t>
            </w:r>
          </w:p>
        </w:tc>
      </w:tr>
      <w:tr w:rsidR="00CD292D" w:rsidTr="00CD292D">
        <w:tc>
          <w:tcPr>
            <w:tcW w:w="354" w:type="dxa"/>
            <w:hideMark/>
          </w:tcPr>
          <w:p w:rsidR="00CD292D" w:rsidRDefault="00CD292D">
            <w:pPr>
              <w:pStyle w:val="Standardowytekst"/>
              <w:jc w:val="center"/>
            </w:pPr>
            <w:r>
              <w:t>9.</w:t>
            </w:r>
          </w:p>
        </w:tc>
        <w:tc>
          <w:tcPr>
            <w:tcW w:w="1879" w:type="dxa"/>
            <w:hideMark/>
          </w:tcPr>
          <w:p w:rsidR="00CD292D" w:rsidRDefault="00CD292D">
            <w:pPr>
              <w:pStyle w:val="Standardowytekst"/>
            </w:pPr>
            <w:r>
              <w:t>BN-77/8931-12</w:t>
            </w:r>
          </w:p>
        </w:tc>
        <w:tc>
          <w:tcPr>
            <w:tcW w:w="6406" w:type="dxa"/>
            <w:hideMark/>
          </w:tcPr>
          <w:p w:rsidR="00CD292D" w:rsidRDefault="00CD292D">
            <w:pPr>
              <w:pStyle w:val="Standardowytekst"/>
            </w:pPr>
            <w:r>
              <w:t>Oznaczenie wskaźnika zagęszczenia gruntu</w:t>
            </w:r>
          </w:p>
        </w:tc>
      </w:tr>
    </w:tbl>
    <w:p w:rsidR="00CD292D" w:rsidRDefault="00CD292D" w:rsidP="00CD292D">
      <w:pPr>
        <w:pStyle w:val="Nagwek2"/>
      </w:pPr>
      <w:bookmarkStart w:id="167" w:name="_Toc405615064"/>
      <w:bookmarkStart w:id="168" w:name="_Toc407161212"/>
      <w:r>
        <w:t>10.2. Inne dokumenty</w:t>
      </w:r>
      <w:bookmarkEnd w:id="167"/>
      <w:bookmarkEnd w:id="168"/>
    </w:p>
    <w:p w:rsidR="00CD292D" w:rsidRDefault="00CD292D" w:rsidP="00CD292D">
      <w:pPr>
        <w:pStyle w:val="Standardowytekst"/>
        <w:numPr>
          <w:ilvl w:val="0"/>
          <w:numId w:val="15"/>
        </w:numPr>
        <w:tabs>
          <w:tab w:val="left" w:pos="426"/>
        </w:tabs>
      </w:pPr>
      <w:r>
        <w:t>Wykonanie i odbiór robót ziemnych dla dróg szybkiego ruchu, IBDiM, Warszawa  1978.</w:t>
      </w:r>
    </w:p>
    <w:p w:rsidR="00CD292D" w:rsidRDefault="00CD292D" w:rsidP="00CD292D">
      <w:pPr>
        <w:pStyle w:val="Standardowytekst"/>
        <w:numPr>
          <w:ilvl w:val="0"/>
          <w:numId w:val="16"/>
        </w:numPr>
        <w:tabs>
          <w:tab w:val="left" w:pos="426"/>
        </w:tabs>
      </w:pPr>
      <w:r>
        <w:t>Instrukcja badań podłoża gruntowego budowli drogowych i mostowych, GDDP,Warszawa 1998.</w:t>
      </w:r>
    </w:p>
    <w:p w:rsidR="00CD292D" w:rsidRDefault="00CD292D" w:rsidP="00CD292D">
      <w:pPr>
        <w:pStyle w:val="Standardowytekst"/>
        <w:numPr>
          <w:ilvl w:val="0"/>
          <w:numId w:val="16"/>
        </w:numPr>
        <w:tabs>
          <w:tab w:val="left" w:pos="426"/>
        </w:tabs>
      </w:pPr>
      <w:r>
        <w:t>Katalog typowych konstrukcji nawierzchni podatnych i półsztywnych, IBDiM, Warszawa 1997.</w:t>
      </w:r>
    </w:p>
    <w:p w:rsidR="00CD292D" w:rsidRDefault="00CD292D" w:rsidP="00CD292D">
      <w:pPr>
        <w:pStyle w:val="Standardowytekst"/>
        <w:numPr>
          <w:ilvl w:val="0"/>
          <w:numId w:val="16"/>
        </w:numPr>
        <w:tabs>
          <w:tab w:val="left" w:pos="426"/>
        </w:tabs>
      </w:pPr>
      <w:r>
        <w:t>Wytyczne wzmacniania podłoża gruntowego w budownictwie drogowym, IBDiM, Warszawa 2002.</w:t>
      </w:r>
    </w:p>
    <w:p w:rsidR="00A60DBC" w:rsidRDefault="00A60DBC" w:rsidP="00A60DBC">
      <w:pPr>
        <w:pStyle w:val="Standardowytekst"/>
        <w:tabs>
          <w:tab w:val="left" w:pos="426"/>
        </w:tabs>
      </w:pPr>
    </w:p>
    <w:p w:rsidR="00A60DBC" w:rsidRDefault="00A60DBC" w:rsidP="00A60DBC">
      <w:pPr>
        <w:pStyle w:val="Standardowytekst"/>
        <w:tabs>
          <w:tab w:val="left" w:pos="426"/>
        </w:tabs>
      </w:pPr>
    </w:p>
    <w:p w:rsidR="001E4C85" w:rsidRDefault="001E4C85" w:rsidP="001E4C85">
      <w:pPr>
        <w:pStyle w:val="Standardowytekst"/>
        <w:jc w:val="center"/>
        <w:rPr>
          <w:b/>
          <w:sz w:val="28"/>
        </w:rPr>
      </w:pPr>
      <w:bookmarkStart w:id="169" w:name="_1._WSTĘP_1"/>
      <w:bookmarkEnd w:id="169"/>
    </w:p>
    <w:p w:rsidR="00F45603" w:rsidRPr="001C206F" w:rsidRDefault="00F45603" w:rsidP="00F45603">
      <w:pPr>
        <w:jc w:val="both"/>
        <w:rPr>
          <w:b/>
          <w:sz w:val="28"/>
        </w:rPr>
      </w:pPr>
      <w:r>
        <w:rPr>
          <w:b/>
          <w:sz w:val="28"/>
        </w:rPr>
        <w:t>III. D - 03.01.01  PRZEPUSTY  POD  KORONĄ  DROGI</w:t>
      </w:r>
    </w:p>
    <w:p w:rsidR="00F45603" w:rsidRDefault="00F45603" w:rsidP="00F45603">
      <w:pPr>
        <w:jc w:val="center"/>
        <w:rPr>
          <w:b/>
          <w:sz w:val="28"/>
        </w:rPr>
      </w:pPr>
    </w:p>
    <w:p w:rsidR="00F45603" w:rsidRPr="001C206F" w:rsidRDefault="00F45603" w:rsidP="00F45603">
      <w:pPr>
        <w:jc w:val="both"/>
        <w:rPr>
          <w:b/>
        </w:rPr>
      </w:pPr>
      <w:bookmarkStart w:id="170" w:name="_Toc424359826"/>
      <w:r>
        <w:t>1. WSTĘP</w:t>
      </w:r>
      <w:bookmarkEnd w:id="170"/>
    </w:p>
    <w:p w:rsidR="00F45603" w:rsidRDefault="00F45603" w:rsidP="00F45603">
      <w:pPr>
        <w:spacing w:before="120" w:after="120"/>
        <w:ind w:right="-14"/>
        <w:rPr>
          <w:b/>
        </w:rPr>
      </w:pPr>
      <w:r>
        <w:rPr>
          <w:b/>
        </w:rPr>
        <w:t>1.1. Przedmiot OST</w:t>
      </w:r>
    </w:p>
    <w:p w:rsidR="00F45603" w:rsidRDefault="00F45603" w:rsidP="00F45603">
      <w:pPr>
        <w:ind w:right="-14"/>
      </w:pPr>
      <w:r>
        <w:rPr>
          <w:b/>
        </w:rPr>
        <w:tab/>
      </w:r>
      <w:r>
        <w:t>Przedmiotem niniejszej ogólnej specyfikacji technicznej (OST) są wymagania dotyczące wykonania i odbioru robót związanych z wykonywaniem przepustów pod koroną drogi oraz ścianek czołowych jako samodzielnych elementów.</w:t>
      </w:r>
    </w:p>
    <w:p w:rsidR="00F45603" w:rsidRDefault="00F45603" w:rsidP="00F45603">
      <w:pPr>
        <w:pStyle w:val="Nagwek2"/>
      </w:pPr>
      <w:r>
        <w:lastRenderedPageBreak/>
        <w:t>1.2. Zakres stosowania OST</w:t>
      </w:r>
    </w:p>
    <w:p w:rsidR="00F45603" w:rsidRDefault="00F45603" w:rsidP="00F45603">
      <w:pPr>
        <w:ind w:right="-14"/>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45603" w:rsidRDefault="00F45603" w:rsidP="00F45603">
      <w:pPr>
        <w:ind w:right="-14"/>
      </w:pPr>
      <w:r>
        <w:tab/>
        <w:t>Zaleca się wykorzystanie OST przy zlecaniu robót na drogach miejskich i gminnych.</w:t>
      </w:r>
    </w:p>
    <w:p w:rsidR="00F45603" w:rsidRDefault="00F45603" w:rsidP="00F45603">
      <w:pPr>
        <w:pStyle w:val="Nagwek2"/>
      </w:pPr>
      <w:r>
        <w:t>1.3. Zakres robót objętych OST</w:t>
      </w:r>
    </w:p>
    <w:p w:rsidR="00F45603" w:rsidRDefault="00F45603" w:rsidP="00F45603">
      <w:pPr>
        <w:ind w:right="-14"/>
      </w:pPr>
      <w:r>
        <w:tab/>
        <w:t>Ustalenia zawarte w niniejszej specyfikacji dotyczą zasad prowadzenia robót związanych z wykonaniem przepustów pod koroną drogi oraz ścianek czołowych jako samodzielnych elementów.</w:t>
      </w:r>
    </w:p>
    <w:p w:rsidR="00F45603" w:rsidRDefault="00F45603" w:rsidP="00F45603">
      <w:pPr>
        <w:pStyle w:val="Nagwek2"/>
      </w:pPr>
      <w:r>
        <w:t>1.4. Określenia podstawowe</w:t>
      </w:r>
    </w:p>
    <w:p w:rsidR="00F45603" w:rsidRDefault="00F45603" w:rsidP="00F45603">
      <w:pPr>
        <w:ind w:right="-14"/>
      </w:pPr>
      <w:r>
        <w:rPr>
          <w:b/>
        </w:rPr>
        <w:t xml:space="preserve">1.4.1. </w:t>
      </w:r>
      <w:r>
        <w:t>Przepust - obiekt wybudowany w formie zamkniętej obudowy konstrukcyjnej, służący do przepływu małych cieków wodnych pod nasypami korpusu drogowego lub dla ruchu kołowego, pieszego.</w:t>
      </w:r>
    </w:p>
    <w:p w:rsidR="00F45603" w:rsidRDefault="00F45603" w:rsidP="00F45603">
      <w:pPr>
        <w:spacing w:before="120"/>
        <w:ind w:right="-11"/>
      </w:pPr>
      <w:r>
        <w:rPr>
          <w:b/>
        </w:rPr>
        <w:t xml:space="preserve">1.4.2. </w:t>
      </w:r>
      <w:r>
        <w:t>Prefabrykat (element prefabrykowany) - część konstrukcyjna wykonana w zakładzie przemysłowym, z której po zmontowaniu na budowie, można wykonać przepust.</w:t>
      </w:r>
    </w:p>
    <w:p w:rsidR="00F45603" w:rsidRDefault="00F45603" w:rsidP="00F45603">
      <w:pPr>
        <w:spacing w:before="120"/>
        <w:ind w:right="-11"/>
      </w:pPr>
      <w:r>
        <w:rPr>
          <w:b/>
        </w:rPr>
        <w:t xml:space="preserve">1.4.3. </w:t>
      </w:r>
      <w:r>
        <w:t>Przepust monolityczny - przepust, którego konstrukcja nośna tworzy jednolitą całość, z wyjątkiem przerw dylatacyjnych i wykonana jest w całości na mokro.</w:t>
      </w:r>
    </w:p>
    <w:p w:rsidR="00F45603" w:rsidRDefault="00F45603" w:rsidP="00F45603">
      <w:pPr>
        <w:spacing w:before="120"/>
        <w:ind w:right="-11"/>
      </w:pPr>
      <w:r>
        <w:rPr>
          <w:b/>
        </w:rPr>
        <w:t xml:space="preserve">1.4.4. </w:t>
      </w:r>
      <w:r>
        <w:t>Przepust prefabrykowany - przepust, którego konstrukcja nośna wykonana jest z elementów prefabrykowanych.</w:t>
      </w:r>
    </w:p>
    <w:p w:rsidR="00F45603" w:rsidRDefault="00F45603" w:rsidP="00F45603">
      <w:pPr>
        <w:spacing w:before="120"/>
        <w:ind w:right="-11"/>
      </w:pPr>
      <w:r>
        <w:rPr>
          <w:b/>
        </w:rPr>
        <w:t xml:space="preserve">1.4.5. </w:t>
      </w:r>
      <w:r>
        <w:t>Przepust betonowy - przepust, którego konstrukcja nośna wykonana jest z betonu.</w:t>
      </w:r>
    </w:p>
    <w:p w:rsidR="00F45603" w:rsidRDefault="00F45603" w:rsidP="00F45603">
      <w:pPr>
        <w:spacing w:before="120"/>
        <w:ind w:right="-11"/>
      </w:pPr>
      <w:r>
        <w:rPr>
          <w:b/>
        </w:rPr>
        <w:t xml:space="preserve">1.4.6. </w:t>
      </w:r>
      <w:r>
        <w:t>Przepust żelbetowy - przepust, którego konstrukcja nośna wykonana jest z żelbetu.</w:t>
      </w:r>
    </w:p>
    <w:p w:rsidR="00F45603" w:rsidRDefault="00F45603" w:rsidP="00F45603">
      <w:pPr>
        <w:spacing w:before="120"/>
        <w:ind w:right="-11"/>
      </w:pPr>
      <w:r>
        <w:rPr>
          <w:b/>
        </w:rPr>
        <w:t xml:space="preserve">1.4.7. </w:t>
      </w:r>
      <w:r>
        <w:t>Przepust ramowy - przepust, którego konstrukcja nośna wykonana jest w kształcie ramownicy pracującej na obciążenie pionowe i poziome.</w:t>
      </w:r>
    </w:p>
    <w:p w:rsidR="00F45603" w:rsidRDefault="00F45603" w:rsidP="00F45603">
      <w:pPr>
        <w:spacing w:before="120"/>
        <w:ind w:right="-11"/>
      </w:pPr>
      <w:r>
        <w:rPr>
          <w:b/>
        </w:rPr>
        <w:t xml:space="preserve">1.4.8. </w:t>
      </w:r>
      <w:r>
        <w:t>Przepust sklepiony - przepust, w którym można wydzielić górną konstrukcję łukową przenoszącą obciążenie pionowe i poziome oraz fundament łuku.</w:t>
      </w:r>
    </w:p>
    <w:p w:rsidR="00F45603" w:rsidRDefault="00F45603" w:rsidP="00F45603">
      <w:pPr>
        <w:spacing w:before="120"/>
        <w:ind w:right="-11"/>
      </w:pPr>
      <w:r>
        <w:rPr>
          <w:b/>
        </w:rPr>
        <w:t xml:space="preserve">1.4.9. </w:t>
      </w:r>
      <w:r>
        <w:t>Przepust rurowy - przepust, którego konstrukcja nośna wykonana jest z rur betonowych lub żelbetowych.</w:t>
      </w:r>
    </w:p>
    <w:p w:rsidR="00F45603" w:rsidRDefault="00F45603" w:rsidP="00F45603">
      <w:pPr>
        <w:spacing w:before="120"/>
        <w:ind w:right="-11"/>
      </w:pPr>
      <w:r>
        <w:rPr>
          <w:b/>
        </w:rPr>
        <w:t xml:space="preserve">1.4.10.  </w:t>
      </w:r>
      <w:r>
        <w:t>Ścianka czołowa przepustu -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rsidR="00F45603" w:rsidRDefault="00F45603" w:rsidP="00F45603">
      <w:pPr>
        <w:spacing w:before="120"/>
        <w:ind w:right="-14"/>
      </w:pPr>
      <w:r>
        <w:rPr>
          <w:b/>
        </w:rPr>
        <w:t xml:space="preserve">1.4.11. </w:t>
      </w:r>
      <w:r>
        <w:t>Skrzydła wlotu lub wylotu przepustu - konstrukcje łączące się ze ściankami czołowymi przepustu, równoległe, prostopadłe lub ukośne do osi drogi, służące do zwiększenia zdolności przepustowej przepustu i podtrzymania stoków nasypu.</w:t>
      </w:r>
    </w:p>
    <w:p w:rsidR="00F45603" w:rsidRDefault="00F45603" w:rsidP="00F45603">
      <w:pPr>
        <w:spacing w:before="120"/>
        <w:ind w:right="-14"/>
      </w:pPr>
      <w:r>
        <w:rPr>
          <w:b/>
        </w:rPr>
        <w:t xml:space="preserve">1.4.12. </w:t>
      </w:r>
      <w:r>
        <w:t>Pozostałe określenia podstawowe są zgodne z obowiązującymi, odpowiednimi polskimi normami i z definicjami podanymi w OST D-M-00.00.00 „Wymagania ogólne” pkt 1.4.</w:t>
      </w:r>
    </w:p>
    <w:p w:rsidR="00F45603" w:rsidRDefault="00F45603" w:rsidP="00F45603">
      <w:pPr>
        <w:pStyle w:val="Nagwek2"/>
      </w:pPr>
      <w:r>
        <w:t xml:space="preserve">1.5. Ogólne wymagania dotyczące robót </w:t>
      </w:r>
    </w:p>
    <w:p w:rsidR="00F45603" w:rsidRDefault="00F45603" w:rsidP="00F45603">
      <w:pPr>
        <w:ind w:right="-14"/>
      </w:pPr>
      <w:r>
        <w:tab/>
        <w:t>Ogólne wymagania dotyczące robót podano w OST D-M-00.00.00 „Wymagania ogólne” pkt 1.5.</w:t>
      </w:r>
    </w:p>
    <w:p w:rsidR="00F45603" w:rsidRDefault="00F45603" w:rsidP="00F45603">
      <w:pPr>
        <w:pStyle w:val="Nagwek1"/>
      </w:pPr>
      <w:bookmarkStart w:id="171" w:name="_Toc424359827"/>
      <w:r>
        <w:lastRenderedPageBreak/>
        <w:t>2. MATERIAŁY</w:t>
      </w:r>
      <w:bookmarkEnd w:id="171"/>
    </w:p>
    <w:p w:rsidR="00F45603" w:rsidRDefault="00F45603" w:rsidP="00F45603">
      <w:pPr>
        <w:pStyle w:val="Nagwek2"/>
      </w:pPr>
      <w:r>
        <w:t>2.1. Ogólne wymagania dotyczące materiałów</w:t>
      </w:r>
    </w:p>
    <w:p w:rsidR="00F45603" w:rsidRDefault="00F45603" w:rsidP="00F45603">
      <w:pPr>
        <w:ind w:right="-14"/>
      </w:pPr>
      <w:r>
        <w:tab/>
        <w:t>Ogólne wymagania dotyczące materiałów, ich pozyskiwania i składowania, podano w OST D-M-00.00.00 „Wymagania ogólne” pkt 2.</w:t>
      </w:r>
    </w:p>
    <w:p w:rsidR="00F45603" w:rsidRDefault="00F45603" w:rsidP="00F45603">
      <w:pPr>
        <w:pStyle w:val="Nagwek2"/>
      </w:pPr>
      <w:r>
        <w:t>2.2. Rodzaje materiałów</w:t>
      </w:r>
    </w:p>
    <w:p w:rsidR="00F45603" w:rsidRDefault="00F45603" w:rsidP="00F45603">
      <w:pPr>
        <w:ind w:right="-14"/>
      </w:pPr>
      <w:r>
        <w:tab/>
        <w:t>Materiałami stosowanymi przy wykonywaniu przepustów, objętych niniejszą OST są:</w:t>
      </w:r>
    </w:p>
    <w:p w:rsidR="00F45603" w:rsidRDefault="00F45603" w:rsidP="00F45603">
      <w:pPr>
        <w:numPr>
          <w:ilvl w:val="0"/>
          <w:numId w:val="5"/>
        </w:numPr>
        <w:overflowPunct w:val="0"/>
        <w:autoSpaceDE w:val="0"/>
        <w:autoSpaceDN w:val="0"/>
        <w:adjustRightInd w:val="0"/>
        <w:spacing w:after="0" w:line="240" w:lineRule="auto"/>
        <w:ind w:right="-11"/>
        <w:jc w:val="both"/>
        <w:textAlignment w:val="baseline"/>
        <w:rPr>
          <w:b/>
        </w:rPr>
      </w:pPr>
      <w:r>
        <w:t>beton,</w:t>
      </w:r>
    </w:p>
    <w:p w:rsidR="00F45603" w:rsidRDefault="00F45603" w:rsidP="00F45603">
      <w:pPr>
        <w:numPr>
          <w:ilvl w:val="0"/>
          <w:numId w:val="5"/>
        </w:numPr>
        <w:overflowPunct w:val="0"/>
        <w:autoSpaceDE w:val="0"/>
        <w:autoSpaceDN w:val="0"/>
        <w:adjustRightInd w:val="0"/>
        <w:spacing w:after="0" w:line="240" w:lineRule="auto"/>
        <w:ind w:right="-11"/>
        <w:jc w:val="both"/>
        <w:textAlignment w:val="baseline"/>
        <w:rPr>
          <w:b/>
        </w:rPr>
      </w:pPr>
      <w:r>
        <w:t>materiały na ławy fundamentowe,</w:t>
      </w:r>
    </w:p>
    <w:p w:rsidR="00F45603" w:rsidRDefault="00F45603" w:rsidP="00F45603">
      <w:pPr>
        <w:numPr>
          <w:ilvl w:val="0"/>
          <w:numId w:val="5"/>
        </w:numPr>
        <w:overflowPunct w:val="0"/>
        <w:autoSpaceDE w:val="0"/>
        <w:autoSpaceDN w:val="0"/>
        <w:adjustRightInd w:val="0"/>
        <w:spacing w:after="0" w:line="240" w:lineRule="auto"/>
        <w:ind w:right="-11"/>
        <w:jc w:val="both"/>
        <w:textAlignment w:val="baseline"/>
        <w:rPr>
          <w:b/>
        </w:rPr>
      </w:pPr>
      <w:r>
        <w:t>materiały izolacyjne,</w:t>
      </w:r>
    </w:p>
    <w:p w:rsidR="00F45603" w:rsidRDefault="00F45603" w:rsidP="00F45603">
      <w:pPr>
        <w:numPr>
          <w:ilvl w:val="0"/>
          <w:numId w:val="5"/>
        </w:numPr>
        <w:overflowPunct w:val="0"/>
        <w:autoSpaceDE w:val="0"/>
        <w:autoSpaceDN w:val="0"/>
        <w:adjustRightInd w:val="0"/>
        <w:spacing w:after="0" w:line="240" w:lineRule="auto"/>
        <w:ind w:right="-11"/>
        <w:jc w:val="both"/>
        <w:textAlignment w:val="baseline"/>
        <w:rPr>
          <w:b/>
        </w:rPr>
      </w:pPr>
      <w:r>
        <w:t>deskowanie konstrukcji betonowych i żelbetowych,</w:t>
      </w:r>
    </w:p>
    <w:p w:rsidR="00F45603" w:rsidRDefault="00F45603" w:rsidP="00F45603">
      <w:pPr>
        <w:numPr>
          <w:ilvl w:val="0"/>
          <w:numId w:val="5"/>
        </w:numPr>
        <w:overflowPunct w:val="0"/>
        <w:autoSpaceDE w:val="0"/>
        <w:autoSpaceDN w:val="0"/>
        <w:adjustRightInd w:val="0"/>
        <w:spacing w:after="0" w:line="240" w:lineRule="auto"/>
        <w:ind w:right="-11"/>
        <w:jc w:val="both"/>
        <w:textAlignment w:val="baseline"/>
        <w:rPr>
          <w:b/>
        </w:rPr>
      </w:pPr>
      <w:r>
        <w:t>kamień łamany do ścianek czołowych.</w:t>
      </w:r>
    </w:p>
    <w:p w:rsidR="00F45603" w:rsidRDefault="00F45603" w:rsidP="00F45603">
      <w:pPr>
        <w:pStyle w:val="Nagwek2"/>
      </w:pPr>
      <w:r>
        <w:t>2.3. Beton i jego składniki</w:t>
      </w:r>
    </w:p>
    <w:p w:rsidR="00F45603" w:rsidRDefault="00F45603" w:rsidP="00F45603">
      <w:pPr>
        <w:ind w:right="-14"/>
      </w:pPr>
      <w:r>
        <w:rPr>
          <w:b/>
        </w:rPr>
        <w:t xml:space="preserve">2.3.1. </w:t>
      </w:r>
      <w:r>
        <w:t>Wymagane właściwości betonu</w:t>
      </w:r>
    </w:p>
    <w:p w:rsidR="00F45603" w:rsidRDefault="00F45603" w:rsidP="00F45603">
      <w:pPr>
        <w:spacing w:before="120"/>
        <w:ind w:right="-11"/>
      </w:pPr>
      <w:r>
        <w:tab/>
        <w:t>Poszczególne elementy konstrukcji przepustu betonowego w zależności od warunków ich eksploatacji, należy wykonywać zgodnie z „Wymaganiami i zaleceniami dotyczącymi wykonywania betonów do konstrukcji  mostowych” [45], z betonu klasy co najmniej:</w:t>
      </w:r>
    </w:p>
    <w:p w:rsidR="00F45603" w:rsidRDefault="00F45603" w:rsidP="00F45603">
      <w:pPr>
        <w:ind w:right="-14"/>
      </w:pPr>
      <w:r>
        <w:t>- B 30 - prefabrykaty, ścianki czołowe, przepusty, skrzydełka;</w:t>
      </w:r>
    </w:p>
    <w:p w:rsidR="00F45603" w:rsidRDefault="00F45603" w:rsidP="00F45603">
      <w:pPr>
        <w:ind w:right="-14"/>
      </w:pPr>
      <w:r>
        <w:t>- B 25 - fundamenty, warstwy ochronne.</w:t>
      </w:r>
    </w:p>
    <w:p w:rsidR="00F45603" w:rsidRDefault="00F45603" w:rsidP="00F45603">
      <w:pPr>
        <w:ind w:right="-14"/>
      </w:pPr>
      <w:r>
        <w:tab/>
        <w:t>Beton do konstrukcji przepustów betonowych  musi spełniać następujące wymagania wg PN-B-06250 [8]:</w:t>
      </w:r>
    </w:p>
    <w:p w:rsidR="00F45603" w:rsidRDefault="00F45603" w:rsidP="00F45603">
      <w:pPr>
        <w:numPr>
          <w:ilvl w:val="0"/>
          <w:numId w:val="5"/>
        </w:numPr>
        <w:overflowPunct w:val="0"/>
        <w:autoSpaceDE w:val="0"/>
        <w:autoSpaceDN w:val="0"/>
        <w:adjustRightInd w:val="0"/>
        <w:spacing w:after="0" w:line="240" w:lineRule="auto"/>
        <w:ind w:right="-14"/>
        <w:jc w:val="both"/>
        <w:textAlignment w:val="baseline"/>
        <w:rPr>
          <w:b/>
        </w:rPr>
      </w:pPr>
      <w:r>
        <w:t>nasiąkliwość nie większa niż 4 %,</w:t>
      </w:r>
    </w:p>
    <w:p w:rsidR="00F45603" w:rsidRDefault="00F45603" w:rsidP="00F45603">
      <w:pPr>
        <w:numPr>
          <w:ilvl w:val="0"/>
          <w:numId w:val="5"/>
        </w:numPr>
        <w:overflowPunct w:val="0"/>
        <w:autoSpaceDE w:val="0"/>
        <w:autoSpaceDN w:val="0"/>
        <w:adjustRightInd w:val="0"/>
        <w:spacing w:after="0" w:line="240" w:lineRule="auto"/>
        <w:ind w:right="-14"/>
        <w:jc w:val="both"/>
        <w:textAlignment w:val="baseline"/>
        <w:rPr>
          <w:b/>
        </w:rPr>
      </w:pPr>
      <w:r>
        <w:t>przepuszczalność wody - stopień wodoszczelności co najmniej W 8,</w:t>
      </w:r>
    </w:p>
    <w:p w:rsidR="00F45603" w:rsidRDefault="00F45603" w:rsidP="00F45603">
      <w:pPr>
        <w:numPr>
          <w:ilvl w:val="0"/>
          <w:numId w:val="5"/>
        </w:numPr>
        <w:overflowPunct w:val="0"/>
        <w:autoSpaceDE w:val="0"/>
        <w:autoSpaceDN w:val="0"/>
        <w:adjustRightInd w:val="0"/>
        <w:spacing w:after="0" w:line="240" w:lineRule="auto"/>
        <w:ind w:right="-14"/>
        <w:jc w:val="both"/>
        <w:textAlignment w:val="baseline"/>
        <w:rPr>
          <w:b/>
        </w:rPr>
      </w:pPr>
      <w:r>
        <w:t>odporność na działanie mrozu - stopień mrozoodporności co najmniej F 150.</w:t>
      </w:r>
    </w:p>
    <w:p w:rsidR="00F45603" w:rsidRDefault="00F45603" w:rsidP="00F45603">
      <w:pPr>
        <w:spacing w:before="120"/>
        <w:ind w:right="-11"/>
      </w:pPr>
      <w:r>
        <w:rPr>
          <w:b/>
        </w:rPr>
        <w:t>2.3.2.</w:t>
      </w:r>
      <w:r>
        <w:t xml:space="preserve"> Kruszywo</w:t>
      </w:r>
    </w:p>
    <w:p w:rsidR="00F45603" w:rsidRDefault="00F45603" w:rsidP="00F45603">
      <w:pPr>
        <w:spacing w:before="120"/>
        <w:ind w:right="-11"/>
        <w:rPr>
          <w:b/>
        </w:rPr>
      </w:pPr>
      <w:r>
        <w:tab/>
        <w:t>Kruszywo stosowane do wyrobu betonowych elementów konstrukcji przepustów powinno spełniać wymagania normy PN-B-06712 [12] dla kruszyw do betonów klas B 25, B 30 i wyższych.</w:t>
      </w:r>
    </w:p>
    <w:p w:rsidR="00F45603" w:rsidRDefault="00F45603" w:rsidP="00F45603">
      <w:pPr>
        <w:spacing w:before="60" w:after="60"/>
        <w:ind w:right="-11"/>
      </w:pPr>
      <w:r>
        <w:t>Grysy</w:t>
      </w:r>
    </w:p>
    <w:p w:rsidR="00F45603" w:rsidRDefault="00F45603" w:rsidP="00F45603">
      <w:pPr>
        <w:ind w:right="-14"/>
      </w:pPr>
      <w:r>
        <w:tab/>
        <w:t xml:space="preserve">Do betonów stosować należy grysy granitowe lub bazaltowe o maksymalnym wymiarze ziarna do </w:t>
      </w:r>
      <w:smartTag w:uri="urn:schemas-microsoft-com:office:smarttags" w:element="metricconverter">
        <w:smartTagPr>
          <w:attr w:name="productid" w:val="16 mm"/>
        </w:smartTagPr>
        <w:r>
          <w:t>16 mm</w:t>
        </w:r>
      </w:smartTag>
      <w:r>
        <w:t xml:space="preserve">. Stosowanie grysów z innych skał dopuszcza się pod warunkiem zaakceptowania przez Inżyniera. </w:t>
      </w:r>
    </w:p>
    <w:p w:rsidR="00F45603" w:rsidRDefault="00F45603" w:rsidP="00F45603">
      <w:pPr>
        <w:ind w:right="-14"/>
      </w:pPr>
      <w:r>
        <w:tab/>
        <w:t>Grysy powinny odpowiadać wymaganiom podanym w tablicy 1.</w:t>
      </w:r>
    </w:p>
    <w:p w:rsidR="00F45603" w:rsidRDefault="00F45603" w:rsidP="00F45603">
      <w:pPr>
        <w:spacing w:before="120"/>
        <w:ind w:right="-11"/>
      </w:pPr>
      <w:r>
        <w:t>Tablica 1. Wymagania dla grysu do betonowych elementów konstrukcji przepustów</w:t>
      </w:r>
    </w:p>
    <w:p w:rsidR="00F45603" w:rsidRDefault="00F45603" w:rsidP="00F45603">
      <w:pPr>
        <w:ind w:right="-14"/>
      </w:pP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F45603" w:rsidTr="00E558D1">
        <w:tc>
          <w:tcPr>
            <w:tcW w:w="637" w:type="dxa"/>
            <w:tcBorders>
              <w:bottom w:val="double" w:sz="6" w:space="0" w:color="auto"/>
            </w:tcBorders>
          </w:tcPr>
          <w:p w:rsidR="00F45603" w:rsidRDefault="00F45603" w:rsidP="00E558D1">
            <w:pPr>
              <w:spacing w:before="60" w:after="60"/>
              <w:ind w:right="-11"/>
              <w:jc w:val="center"/>
            </w:pPr>
            <w:r>
              <w:t>Lp.</w:t>
            </w:r>
          </w:p>
        </w:tc>
        <w:tc>
          <w:tcPr>
            <w:tcW w:w="4536" w:type="dxa"/>
            <w:tcBorders>
              <w:bottom w:val="double" w:sz="6" w:space="0" w:color="auto"/>
            </w:tcBorders>
          </w:tcPr>
          <w:p w:rsidR="00F45603" w:rsidRDefault="00F45603" w:rsidP="00E558D1">
            <w:pPr>
              <w:spacing w:before="60" w:after="60"/>
              <w:ind w:right="-11"/>
              <w:jc w:val="center"/>
            </w:pPr>
            <w:r>
              <w:t>Właściwości</w:t>
            </w:r>
          </w:p>
        </w:tc>
        <w:tc>
          <w:tcPr>
            <w:tcW w:w="2410" w:type="dxa"/>
            <w:tcBorders>
              <w:bottom w:val="double" w:sz="6" w:space="0" w:color="auto"/>
            </w:tcBorders>
          </w:tcPr>
          <w:p w:rsidR="00F45603" w:rsidRDefault="00F45603" w:rsidP="00E558D1">
            <w:pPr>
              <w:spacing w:before="60" w:after="60"/>
              <w:ind w:right="-11"/>
              <w:jc w:val="center"/>
            </w:pPr>
            <w:r>
              <w:t>Wymagania</w:t>
            </w:r>
          </w:p>
        </w:tc>
      </w:tr>
      <w:tr w:rsidR="00F45603" w:rsidTr="00E558D1">
        <w:tc>
          <w:tcPr>
            <w:tcW w:w="637" w:type="dxa"/>
            <w:tcBorders>
              <w:top w:val="nil"/>
            </w:tcBorders>
          </w:tcPr>
          <w:p w:rsidR="00F45603" w:rsidRDefault="00F45603" w:rsidP="00E558D1">
            <w:pPr>
              <w:spacing w:before="60" w:after="60"/>
              <w:ind w:right="-11"/>
              <w:jc w:val="center"/>
            </w:pPr>
            <w:r>
              <w:t>1</w:t>
            </w:r>
          </w:p>
        </w:tc>
        <w:tc>
          <w:tcPr>
            <w:tcW w:w="4536" w:type="dxa"/>
            <w:tcBorders>
              <w:top w:val="nil"/>
            </w:tcBorders>
          </w:tcPr>
          <w:p w:rsidR="00F45603" w:rsidRDefault="00F45603" w:rsidP="00E558D1">
            <w:pPr>
              <w:spacing w:before="60" w:after="60"/>
              <w:ind w:right="-11"/>
            </w:pPr>
            <w:r>
              <w:t>Zawartość pyłów mineralnych, %, nie więcej niż:</w:t>
            </w:r>
          </w:p>
        </w:tc>
        <w:tc>
          <w:tcPr>
            <w:tcW w:w="2410" w:type="dxa"/>
            <w:tcBorders>
              <w:top w:val="nil"/>
            </w:tcBorders>
          </w:tcPr>
          <w:p w:rsidR="00F45603" w:rsidRDefault="00F45603" w:rsidP="00E558D1">
            <w:pPr>
              <w:spacing w:before="60" w:after="60"/>
              <w:ind w:right="-11"/>
              <w:jc w:val="center"/>
            </w:pPr>
            <w:r>
              <w:t>1</w:t>
            </w:r>
          </w:p>
        </w:tc>
      </w:tr>
      <w:tr w:rsidR="00F45603" w:rsidTr="00E558D1">
        <w:tc>
          <w:tcPr>
            <w:tcW w:w="637" w:type="dxa"/>
          </w:tcPr>
          <w:p w:rsidR="00F45603" w:rsidRDefault="00F45603" w:rsidP="00E558D1">
            <w:pPr>
              <w:spacing w:before="60" w:after="60"/>
              <w:ind w:right="-11"/>
              <w:jc w:val="center"/>
            </w:pPr>
            <w:r>
              <w:t>2</w:t>
            </w:r>
          </w:p>
        </w:tc>
        <w:tc>
          <w:tcPr>
            <w:tcW w:w="4536" w:type="dxa"/>
          </w:tcPr>
          <w:p w:rsidR="00F45603" w:rsidRDefault="00F45603" w:rsidP="00E558D1">
            <w:pPr>
              <w:spacing w:before="60" w:after="60"/>
              <w:ind w:right="-11"/>
            </w:pPr>
            <w:r>
              <w:t>Zawartość ziarn nieforemnych, %, nie więcej niż:</w:t>
            </w:r>
          </w:p>
        </w:tc>
        <w:tc>
          <w:tcPr>
            <w:tcW w:w="2410" w:type="dxa"/>
          </w:tcPr>
          <w:p w:rsidR="00F45603" w:rsidRDefault="00F45603" w:rsidP="00E558D1">
            <w:pPr>
              <w:spacing w:before="60" w:after="60"/>
              <w:ind w:right="-11"/>
              <w:jc w:val="center"/>
            </w:pPr>
            <w:r>
              <w:t>20</w:t>
            </w:r>
          </w:p>
        </w:tc>
      </w:tr>
      <w:tr w:rsidR="00F45603" w:rsidTr="00E558D1">
        <w:tc>
          <w:tcPr>
            <w:tcW w:w="637" w:type="dxa"/>
          </w:tcPr>
          <w:p w:rsidR="00F45603" w:rsidRDefault="00F45603" w:rsidP="00E558D1">
            <w:pPr>
              <w:ind w:right="-14"/>
              <w:jc w:val="center"/>
            </w:pPr>
            <w:r>
              <w:t>3</w:t>
            </w:r>
          </w:p>
        </w:tc>
        <w:tc>
          <w:tcPr>
            <w:tcW w:w="4536" w:type="dxa"/>
          </w:tcPr>
          <w:p w:rsidR="00F45603" w:rsidRDefault="00F45603" w:rsidP="00E558D1">
            <w:pPr>
              <w:ind w:right="-14"/>
            </w:pPr>
            <w:r>
              <w:t>Wskaźnik rozkruszenia, %, nie więcej niż:</w:t>
            </w:r>
          </w:p>
          <w:p w:rsidR="00F45603" w:rsidRDefault="00F45603" w:rsidP="00E558D1">
            <w:pPr>
              <w:ind w:right="-14"/>
            </w:pPr>
            <w:r>
              <w:lastRenderedPageBreak/>
              <w:t>- dla grysów granitowych</w:t>
            </w:r>
          </w:p>
          <w:p w:rsidR="00F45603" w:rsidRDefault="00F45603" w:rsidP="00E558D1">
            <w:pPr>
              <w:ind w:right="-14"/>
            </w:pPr>
            <w:r>
              <w:t>- dla grysów bazaltowych i innych</w:t>
            </w:r>
          </w:p>
        </w:tc>
        <w:tc>
          <w:tcPr>
            <w:tcW w:w="2410" w:type="dxa"/>
          </w:tcPr>
          <w:p w:rsidR="00F45603" w:rsidRDefault="00F45603" w:rsidP="00E558D1">
            <w:pPr>
              <w:ind w:right="-14"/>
              <w:jc w:val="center"/>
            </w:pPr>
          </w:p>
          <w:p w:rsidR="00F45603" w:rsidRDefault="00F45603" w:rsidP="00E558D1">
            <w:pPr>
              <w:ind w:right="-14"/>
              <w:jc w:val="center"/>
            </w:pPr>
            <w:r>
              <w:lastRenderedPageBreak/>
              <w:t>16</w:t>
            </w:r>
          </w:p>
          <w:p w:rsidR="00F45603" w:rsidRDefault="00F45603" w:rsidP="00E558D1">
            <w:pPr>
              <w:ind w:right="-14"/>
              <w:jc w:val="center"/>
            </w:pPr>
            <w:r>
              <w:t>8</w:t>
            </w:r>
          </w:p>
        </w:tc>
      </w:tr>
      <w:tr w:rsidR="00F45603" w:rsidTr="00E558D1">
        <w:tc>
          <w:tcPr>
            <w:tcW w:w="637" w:type="dxa"/>
          </w:tcPr>
          <w:p w:rsidR="00F45603" w:rsidRDefault="00F45603" w:rsidP="00E558D1">
            <w:pPr>
              <w:spacing w:before="60" w:after="60"/>
              <w:ind w:right="-11"/>
              <w:jc w:val="center"/>
            </w:pPr>
            <w:r>
              <w:lastRenderedPageBreak/>
              <w:t>4</w:t>
            </w:r>
          </w:p>
        </w:tc>
        <w:tc>
          <w:tcPr>
            <w:tcW w:w="4536" w:type="dxa"/>
          </w:tcPr>
          <w:p w:rsidR="00F45603" w:rsidRDefault="00F45603" w:rsidP="00E558D1">
            <w:pPr>
              <w:spacing w:before="60" w:after="60"/>
              <w:ind w:right="-11"/>
            </w:pPr>
            <w:r>
              <w:t>Nasiąkliwość, %, nie więcej niż:</w:t>
            </w:r>
          </w:p>
        </w:tc>
        <w:tc>
          <w:tcPr>
            <w:tcW w:w="2410" w:type="dxa"/>
          </w:tcPr>
          <w:p w:rsidR="00F45603" w:rsidRDefault="00F45603" w:rsidP="00E558D1">
            <w:pPr>
              <w:spacing w:before="60" w:after="60"/>
              <w:ind w:right="-11"/>
              <w:jc w:val="center"/>
            </w:pPr>
            <w:r>
              <w:t>1,2</w:t>
            </w:r>
          </w:p>
        </w:tc>
      </w:tr>
      <w:tr w:rsidR="00F45603" w:rsidTr="00E558D1">
        <w:tc>
          <w:tcPr>
            <w:tcW w:w="637" w:type="dxa"/>
          </w:tcPr>
          <w:p w:rsidR="00F45603" w:rsidRDefault="00F45603" w:rsidP="00E558D1">
            <w:pPr>
              <w:ind w:right="-14"/>
              <w:jc w:val="center"/>
            </w:pPr>
            <w:r>
              <w:t>5</w:t>
            </w:r>
          </w:p>
        </w:tc>
        <w:tc>
          <w:tcPr>
            <w:tcW w:w="4536" w:type="dxa"/>
          </w:tcPr>
          <w:p w:rsidR="00F45603" w:rsidRDefault="00F45603" w:rsidP="00E558D1">
            <w:pPr>
              <w:ind w:right="-14"/>
            </w:pPr>
            <w:r>
              <w:t xml:space="preserve">Mrozoodporność wg metody bezpośredniej,   %, </w:t>
            </w:r>
          </w:p>
          <w:p w:rsidR="00F45603" w:rsidRDefault="00F45603" w:rsidP="00E558D1">
            <w:pPr>
              <w:ind w:right="-14"/>
            </w:pPr>
            <w:r>
              <w:t>nie więcej niż</w:t>
            </w:r>
          </w:p>
        </w:tc>
        <w:tc>
          <w:tcPr>
            <w:tcW w:w="2410" w:type="dxa"/>
          </w:tcPr>
          <w:p w:rsidR="00F45603" w:rsidRDefault="00F45603" w:rsidP="00E558D1">
            <w:pPr>
              <w:spacing w:before="120"/>
              <w:ind w:right="-11"/>
              <w:jc w:val="center"/>
            </w:pPr>
            <w:r>
              <w:t>2</w:t>
            </w:r>
          </w:p>
        </w:tc>
      </w:tr>
      <w:tr w:rsidR="00F45603" w:rsidTr="00E558D1">
        <w:tc>
          <w:tcPr>
            <w:tcW w:w="637" w:type="dxa"/>
          </w:tcPr>
          <w:p w:rsidR="00F45603" w:rsidRDefault="00F45603" w:rsidP="00E558D1">
            <w:pPr>
              <w:ind w:right="-14"/>
              <w:jc w:val="center"/>
            </w:pPr>
            <w:r>
              <w:t>6</w:t>
            </w:r>
          </w:p>
        </w:tc>
        <w:tc>
          <w:tcPr>
            <w:tcW w:w="4536" w:type="dxa"/>
          </w:tcPr>
          <w:p w:rsidR="00F45603" w:rsidRDefault="00F45603" w:rsidP="00E558D1">
            <w:pPr>
              <w:ind w:right="-14"/>
            </w:pPr>
            <w:r>
              <w:t>Mrozoodporność wg zmodyfikowanej metody bezpośredniej (wg PN-B-11112 [19]), %, nie więcej niż:</w:t>
            </w:r>
          </w:p>
        </w:tc>
        <w:tc>
          <w:tcPr>
            <w:tcW w:w="2410" w:type="dxa"/>
          </w:tcPr>
          <w:p w:rsidR="00F45603" w:rsidRDefault="00F45603" w:rsidP="00E558D1">
            <w:pPr>
              <w:ind w:right="-14"/>
            </w:pPr>
          </w:p>
          <w:p w:rsidR="00F45603" w:rsidRDefault="00F45603" w:rsidP="00E558D1">
            <w:pPr>
              <w:ind w:right="-14"/>
              <w:jc w:val="center"/>
            </w:pPr>
            <w:r>
              <w:t>10</w:t>
            </w:r>
          </w:p>
        </w:tc>
      </w:tr>
      <w:tr w:rsidR="00F45603" w:rsidTr="00E558D1">
        <w:tc>
          <w:tcPr>
            <w:tcW w:w="637" w:type="dxa"/>
          </w:tcPr>
          <w:p w:rsidR="00F45603" w:rsidRDefault="00F45603" w:rsidP="00E558D1">
            <w:pPr>
              <w:spacing w:before="60" w:after="60"/>
              <w:ind w:right="-11"/>
              <w:jc w:val="center"/>
            </w:pPr>
            <w:r>
              <w:t>7</w:t>
            </w:r>
          </w:p>
        </w:tc>
        <w:tc>
          <w:tcPr>
            <w:tcW w:w="4536" w:type="dxa"/>
          </w:tcPr>
          <w:p w:rsidR="00F45603" w:rsidRDefault="00F45603" w:rsidP="00E558D1">
            <w:pPr>
              <w:spacing w:before="60" w:after="60"/>
              <w:ind w:right="-11"/>
            </w:pPr>
            <w:r>
              <w:t>Zawartość związków siarki, %, nie więcej niż:</w:t>
            </w:r>
          </w:p>
        </w:tc>
        <w:tc>
          <w:tcPr>
            <w:tcW w:w="2410" w:type="dxa"/>
          </w:tcPr>
          <w:p w:rsidR="00F45603" w:rsidRDefault="00F45603" w:rsidP="00E558D1">
            <w:pPr>
              <w:spacing w:before="60" w:after="60"/>
              <w:ind w:right="-11"/>
              <w:jc w:val="center"/>
            </w:pPr>
            <w:r>
              <w:t>0,1</w:t>
            </w:r>
          </w:p>
        </w:tc>
      </w:tr>
      <w:tr w:rsidR="00F45603" w:rsidTr="00E558D1">
        <w:tc>
          <w:tcPr>
            <w:tcW w:w="637" w:type="dxa"/>
          </w:tcPr>
          <w:p w:rsidR="00F45603" w:rsidRDefault="00F45603" w:rsidP="00E558D1">
            <w:pPr>
              <w:spacing w:before="60" w:after="60"/>
              <w:ind w:right="-11"/>
              <w:jc w:val="center"/>
            </w:pPr>
            <w:r>
              <w:t>8</w:t>
            </w:r>
          </w:p>
        </w:tc>
        <w:tc>
          <w:tcPr>
            <w:tcW w:w="4536" w:type="dxa"/>
          </w:tcPr>
          <w:p w:rsidR="00F45603" w:rsidRDefault="00F45603" w:rsidP="00E558D1">
            <w:pPr>
              <w:spacing w:before="60" w:after="60"/>
              <w:ind w:right="-11"/>
            </w:pPr>
            <w:r>
              <w:t>Zawartość zanieczyszczeń obcych, %, nie więcej niż:</w:t>
            </w:r>
          </w:p>
        </w:tc>
        <w:tc>
          <w:tcPr>
            <w:tcW w:w="2410" w:type="dxa"/>
          </w:tcPr>
          <w:p w:rsidR="00F45603" w:rsidRDefault="00F45603" w:rsidP="00E558D1">
            <w:pPr>
              <w:spacing w:before="60" w:after="60"/>
              <w:ind w:right="-11"/>
              <w:jc w:val="center"/>
            </w:pPr>
            <w:r>
              <w:t>0,25</w:t>
            </w:r>
          </w:p>
        </w:tc>
      </w:tr>
      <w:tr w:rsidR="00F45603" w:rsidTr="00E558D1">
        <w:tc>
          <w:tcPr>
            <w:tcW w:w="637" w:type="dxa"/>
          </w:tcPr>
          <w:p w:rsidR="00F45603" w:rsidRDefault="00F45603" w:rsidP="00E558D1">
            <w:pPr>
              <w:ind w:right="-14"/>
              <w:jc w:val="center"/>
            </w:pPr>
            <w:r>
              <w:t>9</w:t>
            </w:r>
          </w:p>
        </w:tc>
        <w:tc>
          <w:tcPr>
            <w:tcW w:w="4536" w:type="dxa"/>
          </w:tcPr>
          <w:p w:rsidR="00F45603" w:rsidRDefault="00F45603" w:rsidP="00E558D1">
            <w:pPr>
              <w:ind w:right="-14"/>
            </w:pPr>
            <w:r>
              <w:t>Zawartość zanieczyszczeń organicznych. Barwa cieczy nad kruszywem nie ciemniejsza niż:</w:t>
            </w:r>
          </w:p>
        </w:tc>
        <w:tc>
          <w:tcPr>
            <w:tcW w:w="2410" w:type="dxa"/>
          </w:tcPr>
          <w:p w:rsidR="00F45603" w:rsidRDefault="00F45603" w:rsidP="00E558D1">
            <w:pPr>
              <w:spacing w:before="120"/>
              <w:ind w:right="-11"/>
              <w:jc w:val="center"/>
            </w:pPr>
            <w:r>
              <w:t>wzorcowa</w:t>
            </w:r>
          </w:p>
        </w:tc>
      </w:tr>
      <w:tr w:rsidR="00F45603" w:rsidTr="00E558D1">
        <w:tc>
          <w:tcPr>
            <w:tcW w:w="637" w:type="dxa"/>
          </w:tcPr>
          <w:p w:rsidR="00F45603" w:rsidRDefault="00F45603" w:rsidP="00E558D1">
            <w:pPr>
              <w:ind w:right="-14"/>
              <w:jc w:val="center"/>
            </w:pPr>
          </w:p>
          <w:p w:rsidR="00F45603" w:rsidRDefault="00F45603" w:rsidP="00E558D1">
            <w:pPr>
              <w:ind w:right="-14"/>
              <w:jc w:val="center"/>
            </w:pPr>
            <w:r>
              <w:t>10</w:t>
            </w:r>
          </w:p>
        </w:tc>
        <w:tc>
          <w:tcPr>
            <w:tcW w:w="4536" w:type="dxa"/>
          </w:tcPr>
          <w:p w:rsidR="00F45603" w:rsidRDefault="00F45603" w:rsidP="00E558D1">
            <w:pPr>
              <w:ind w:right="-14"/>
            </w:pPr>
          </w:p>
          <w:p w:rsidR="00F45603" w:rsidRDefault="00F45603" w:rsidP="00E558D1">
            <w:pPr>
              <w:ind w:right="-14"/>
            </w:pPr>
            <w:r>
              <w:t>Reaktywność alkaliczna (wg PN-B-06714-34 [18])</w:t>
            </w:r>
          </w:p>
        </w:tc>
        <w:tc>
          <w:tcPr>
            <w:tcW w:w="2410" w:type="dxa"/>
          </w:tcPr>
          <w:p w:rsidR="00F45603" w:rsidRDefault="00F45603" w:rsidP="00E558D1">
            <w:pPr>
              <w:ind w:right="-14"/>
              <w:jc w:val="center"/>
            </w:pPr>
            <w:r>
              <w:t>nie wywołująca zwiększenia wymiarów liniowych ponad 0,1%</w:t>
            </w:r>
          </w:p>
        </w:tc>
      </w:tr>
      <w:tr w:rsidR="00F45603" w:rsidTr="00E558D1">
        <w:tc>
          <w:tcPr>
            <w:tcW w:w="637" w:type="dxa"/>
          </w:tcPr>
          <w:p w:rsidR="00F45603" w:rsidRDefault="00F45603" w:rsidP="00E558D1">
            <w:pPr>
              <w:spacing w:before="60" w:after="60"/>
              <w:ind w:right="-11"/>
              <w:jc w:val="center"/>
            </w:pPr>
            <w:r>
              <w:t>11</w:t>
            </w:r>
          </w:p>
        </w:tc>
        <w:tc>
          <w:tcPr>
            <w:tcW w:w="4536" w:type="dxa"/>
          </w:tcPr>
          <w:p w:rsidR="00F45603" w:rsidRDefault="00F45603" w:rsidP="00E558D1">
            <w:pPr>
              <w:spacing w:before="60" w:after="60"/>
              <w:ind w:right="-11"/>
            </w:pPr>
            <w:r>
              <w:t>Zawartość podziarna, %, nie więcej niż:</w:t>
            </w:r>
          </w:p>
        </w:tc>
        <w:tc>
          <w:tcPr>
            <w:tcW w:w="2410" w:type="dxa"/>
          </w:tcPr>
          <w:p w:rsidR="00F45603" w:rsidRDefault="00F45603" w:rsidP="00E558D1">
            <w:pPr>
              <w:spacing w:before="60" w:after="60"/>
              <w:ind w:right="-11"/>
              <w:jc w:val="center"/>
            </w:pPr>
            <w:r>
              <w:t>5</w:t>
            </w:r>
          </w:p>
        </w:tc>
      </w:tr>
      <w:tr w:rsidR="00F45603" w:rsidTr="00E558D1">
        <w:tc>
          <w:tcPr>
            <w:tcW w:w="637" w:type="dxa"/>
          </w:tcPr>
          <w:p w:rsidR="00F45603" w:rsidRDefault="00F45603" w:rsidP="00E558D1">
            <w:pPr>
              <w:spacing w:before="60" w:after="60"/>
              <w:ind w:right="-11"/>
              <w:jc w:val="center"/>
            </w:pPr>
            <w:r>
              <w:t>12</w:t>
            </w:r>
          </w:p>
        </w:tc>
        <w:tc>
          <w:tcPr>
            <w:tcW w:w="4536" w:type="dxa"/>
          </w:tcPr>
          <w:p w:rsidR="00F45603" w:rsidRDefault="00F45603" w:rsidP="00E558D1">
            <w:pPr>
              <w:spacing w:before="60" w:after="60"/>
              <w:ind w:right="-11"/>
            </w:pPr>
            <w:r>
              <w:t>Zawartość nadziarna, %, nie więcej niż:</w:t>
            </w:r>
          </w:p>
        </w:tc>
        <w:tc>
          <w:tcPr>
            <w:tcW w:w="2410" w:type="dxa"/>
          </w:tcPr>
          <w:p w:rsidR="00F45603" w:rsidRDefault="00F45603" w:rsidP="00E558D1">
            <w:pPr>
              <w:spacing w:before="60" w:after="60"/>
              <w:ind w:right="-11"/>
              <w:jc w:val="center"/>
            </w:pPr>
            <w:r>
              <w:t>10</w:t>
            </w:r>
          </w:p>
        </w:tc>
      </w:tr>
    </w:tbl>
    <w:p w:rsidR="00F45603" w:rsidRDefault="00F45603" w:rsidP="00F45603">
      <w:pPr>
        <w:ind w:right="-14"/>
        <w:rPr>
          <w:b/>
        </w:rPr>
      </w:pPr>
      <w:r>
        <w:t xml:space="preserve"> </w:t>
      </w:r>
    </w:p>
    <w:p w:rsidR="00F45603" w:rsidRDefault="00F45603" w:rsidP="00F45603">
      <w:pPr>
        <w:ind w:right="-14"/>
      </w:pPr>
      <w:r>
        <w:rPr>
          <w:b/>
        </w:rPr>
        <w:t xml:space="preserve">   </w:t>
      </w:r>
    </w:p>
    <w:p w:rsidR="00F45603" w:rsidRDefault="00F45603" w:rsidP="00F45603">
      <w:pPr>
        <w:ind w:right="-14"/>
      </w:pPr>
    </w:p>
    <w:p w:rsidR="00F45603" w:rsidRDefault="00F45603" w:rsidP="00F45603">
      <w:pPr>
        <w:ind w:right="-14"/>
      </w:pPr>
      <w:r>
        <w:rPr>
          <w:b/>
        </w:rPr>
        <w:t xml:space="preserve"> </w:t>
      </w:r>
      <w:r>
        <w:t>Piasek</w:t>
      </w:r>
    </w:p>
    <w:p w:rsidR="00F45603" w:rsidRDefault="00F45603" w:rsidP="00F45603">
      <w:pPr>
        <w:ind w:right="-14"/>
      </w:pPr>
      <w:r>
        <w:tab/>
        <w:t>Należy stosować piaski pochodzenia rzecznego, albo będące kompozycją piasku rzecznego i kopalnianego płukanego. Piaski powinny odpowiadać wymaganiom podanym w tablicy 2.</w:t>
      </w:r>
    </w:p>
    <w:p w:rsidR="00F45603" w:rsidRDefault="00F45603" w:rsidP="00F45603">
      <w:pPr>
        <w:spacing w:before="120"/>
        <w:ind w:right="-11"/>
      </w:pPr>
      <w:r>
        <w:t xml:space="preserve">Tablica 2. Wymagania dla piasku do betonowych elementów konstrukcji </w:t>
      </w:r>
    </w:p>
    <w:p w:rsidR="00F45603" w:rsidRDefault="00F45603" w:rsidP="00F45603">
      <w:pPr>
        <w:spacing w:after="120"/>
        <w:ind w:right="-11"/>
      </w:pPr>
      <w: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F45603" w:rsidTr="00E558D1">
        <w:tc>
          <w:tcPr>
            <w:tcW w:w="496" w:type="dxa"/>
            <w:tcBorders>
              <w:bottom w:val="double" w:sz="6" w:space="0" w:color="auto"/>
            </w:tcBorders>
          </w:tcPr>
          <w:p w:rsidR="00F45603" w:rsidRDefault="00F45603" w:rsidP="00E558D1">
            <w:pPr>
              <w:spacing w:before="60" w:after="60"/>
              <w:ind w:right="-11"/>
              <w:jc w:val="center"/>
            </w:pPr>
            <w:r>
              <w:t>Lp.</w:t>
            </w:r>
          </w:p>
        </w:tc>
        <w:tc>
          <w:tcPr>
            <w:tcW w:w="4253" w:type="dxa"/>
            <w:tcBorders>
              <w:bottom w:val="double" w:sz="6" w:space="0" w:color="auto"/>
            </w:tcBorders>
          </w:tcPr>
          <w:p w:rsidR="00F45603" w:rsidRDefault="00F45603" w:rsidP="00E558D1">
            <w:pPr>
              <w:spacing w:before="60" w:after="60"/>
              <w:ind w:right="-11"/>
              <w:jc w:val="center"/>
            </w:pPr>
            <w:r>
              <w:t>Właściwości</w:t>
            </w:r>
          </w:p>
        </w:tc>
        <w:tc>
          <w:tcPr>
            <w:tcW w:w="2693" w:type="dxa"/>
            <w:tcBorders>
              <w:bottom w:val="double" w:sz="6" w:space="0" w:color="auto"/>
            </w:tcBorders>
          </w:tcPr>
          <w:p w:rsidR="00F45603" w:rsidRDefault="00F45603" w:rsidP="00E558D1">
            <w:pPr>
              <w:spacing w:before="60" w:after="60"/>
              <w:ind w:right="-11"/>
              <w:jc w:val="center"/>
            </w:pPr>
            <w:r>
              <w:t>Wymagania</w:t>
            </w:r>
          </w:p>
        </w:tc>
      </w:tr>
      <w:tr w:rsidR="00F45603" w:rsidTr="00E558D1">
        <w:tc>
          <w:tcPr>
            <w:tcW w:w="496" w:type="dxa"/>
            <w:tcBorders>
              <w:top w:val="nil"/>
            </w:tcBorders>
          </w:tcPr>
          <w:p w:rsidR="00F45603" w:rsidRDefault="00F45603" w:rsidP="00E558D1">
            <w:pPr>
              <w:spacing w:before="60" w:after="60"/>
              <w:ind w:right="-11"/>
              <w:jc w:val="center"/>
            </w:pPr>
            <w:r>
              <w:t>1</w:t>
            </w:r>
          </w:p>
        </w:tc>
        <w:tc>
          <w:tcPr>
            <w:tcW w:w="4253" w:type="dxa"/>
            <w:tcBorders>
              <w:top w:val="nil"/>
            </w:tcBorders>
          </w:tcPr>
          <w:p w:rsidR="00F45603" w:rsidRDefault="00F45603" w:rsidP="00E558D1">
            <w:pPr>
              <w:spacing w:before="60" w:after="60"/>
              <w:ind w:right="-11"/>
            </w:pPr>
            <w:r>
              <w:t>Zawartość pyłów mineralnych, %, nie więcej niż:</w:t>
            </w:r>
          </w:p>
        </w:tc>
        <w:tc>
          <w:tcPr>
            <w:tcW w:w="2693" w:type="dxa"/>
            <w:tcBorders>
              <w:top w:val="nil"/>
            </w:tcBorders>
          </w:tcPr>
          <w:p w:rsidR="00F45603" w:rsidRDefault="00F45603" w:rsidP="00E558D1">
            <w:pPr>
              <w:spacing w:before="60" w:after="60"/>
              <w:ind w:right="-11"/>
              <w:jc w:val="center"/>
            </w:pPr>
            <w:r>
              <w:t>1,5</w:t>
            </w:r>
          </w:p>
        </w:tc>
      </w:tr>
      <w:tr w:rsidR="00F45603" w:rsidTr="00E558D1">
        <w:tc>
          <w:tcPr>
            <w:tcW w:w="496" w:type="dxa"/>
          </w:tcPr>
          <w:p w:rsidR="00F45603" w:rsidRDefault="00F45603" w:rsidP="00E558D1">
            <w:pPr>
              <w:spacing w:before="60" w:after="60"/>
              <w:ind w:right="-11"/>
              <w:jc w:val="center"/>
            </w:pPr>
            <w:r>
              <w:t>2</w:t>
            </w:r>
          </w:p>
        </w:tc>
        <w:tc>
          <w:tcPr>
            <w:tcW w:w="4253" w:type="dxa"/>
          </w:tcPr>
          <w:p w:rsidR="00F45603" w:rsidRDefault="00F45603" w:rsidP="00E558D1">
            <w:pPr>
              <w:spacing w:before="60" w:after="60"/>
              <w:ind w:right="-11"/>
            </w:pPr>
            <w:r>
              <w:t>Zawartość związków siarki, %, nie więcej niż:</w:t>
            </w:r>
          </w:p>
        </w:tc>
        <w:tc>
          <w:tcPr>
            <w:tcW w:w="2693" w:type="dxa"/>
          </w:tcPr>
          <w:p w:rsidR="00F45603" w:rsidRDefault="00F45603" w:rsidP="00E558D1">
            <w:pPr>
              <w:spacing w:before="60" w:after="60"/>
              <w:ind w:right="-11"/>
              <w:jc w:val="center"/>
            </w:pPr>
            <w:r>
              <w:t>0,2</w:t>
            </w:r>
          </w:p>
        </w:tc>
      </w:tr>
      <w:tr w:rsidR="00F45603" w:rsidTr="00E558D1">
        <w:tc>
          <w:tcPr>
            <w:tcW w:w="496" w:type="dxa"/>
          </w:tcPr>
          <w:p w:rsidR="00F45603" w:rsidRDefault="00F45603" w:rsidP="00E558D1">
            <w:pPr>
              <w:spacing w:before="60"/>
              <w:ind w:right="-11"/>
              <w:jc w:val="center"/>
            </w:pPr>
            <w:r>
              <w:t>3</w:t>
            </w:r>
          </w:p>
        </w:tc>
        <w:tc>
          <w:tcPr>
            <w:tcW w:w="4253" w:type="dxa"/>
          </w:tcPr>
          <w:p w:rsidR="00F45603" w:rsidRDefault="00F45603" w:rsidP="00E558D1">
            <w:pPr>
              <w:tabs>
                <w:tab w:val="left" w:pos="9143"/>
              </w:tabs>
              <w:spacing w:before="60" w:after="60"/>
              <w:ind w:right="-11"/>
            </w:pPr>
            <w:r>
              <w:t>Zawartość zanieczyszczeń obcych, %, nie więcej niż:</w:t>
            </w:r>
          </w:p>
        </w:tc>
        <w:tc>
          <w:tcPr>
            <w:tcW w:w="2693" w:type="dxa"/>
          </w:tcPr>
          <w:p w:rsidR="00F45603" w:rsidRDefault="00F45603" w:rsidP="00E558D1">
            <w:pPr>
              <w:spacing w:before="120"/>
              <w:ind w:right="-11"/>
              <w:jc w:val="center"/>
            </w:pPr>
            <w:r>
              <w:t>0,25</w:t>
            </w:r>
          </w:p>
          <w:p w:rsidR="00F45603" w:rsidRDefault="00F45603" w:rsidP="00E558D1">
            <w:pPr>
              <w:ind w:right="-14"/>
              <w:jc w:val="center"/>
            </w:pPr>
          </w:p>
        </w:tc>
      </w:tr>
      <w:tr w:rsidR="00F45603" w:rsidTr="00E558D1">
        <w:tc>
          <w:tcPr>
            <w:tcW w:w="496" w:type="dxa"/>
          </w:tcPr>
          <w:p w:rsidR="00F45603" w:rsidRDefault="00F45603" w:rsidP="00E558D1">
            <w:pPr>
              <w:spacing w:before="60" w:after="60"/>
              <w:ind w:right="-11"/>
              <w:jc w:val="center"/>
            </w:pPr>
            <w:r>
              <w:lastRenderedPageBreak/>
              <w:t>4</w:t>
            </w:r>
          </w:p>
        </w:tc>
        <w:tc>
          <w:tcPr>
            <w:tcW w:w="4253" w:type="dxa"/>
          </w:tcPr>
          <w:p w:rsidR="00F45603" w:rsidRDefault="00F45603" w:rsidP="00E558D1">
            <w:pPr>
              <w:spacing w:before="60" w:after="60"/>
              <w:ind w:right="-11"/>
            </w:pPr>
            <w:r>
              <w:t>Zawartość zanieczyszczeń organicznych. Barwa cieczy nad kruszywem  nie ciemniejsza niż:</w:t>
            </w:r>
          </w:p>
        </w:tc>
        <w:tc>
          <w:tcPr>
            <w:tcW w:w="2693" w:type="dxa"/>
          </w:tcPr>
          <w:p w:rsidR="00F45603" w:rsidRDefault="00F45603" w:rsidP="00E558D1">
            <w:pPr>
              <w:spacing w:before="120"/>
              <w:ind w:right="-11"/>
              <w:jc w:val="center"/>
            </w:pPr>
            <w:r>
              <w:t>wzorcowa</w:t>
            </w:r>
          </w:p>
        </w:tc>
      </w:tr>
      <w:tr w:rsidR="00F45603" w:rsidTr="00E558D1">
        <w:tc>
          <w:tcPr>
            <w:tcW w:w="496" w:type="dxa"/>
          </w:tcPr>
          <w:p w:rsidR="00F45603" w:rsidRDefault="00F45603" w:rsidP="00E558D1">
            <w:pPr>
              <w:ind w:right="-14"/>
              <w:jc w:val="center"/>
            </w:pPr>
          </w:p>
          <w:p w:rsidR="00F45603" w:rsidRDefault="00F45603" w:rsidP="00E558D1">
            <w:pPr>
              <w:ind w:right="-14"/>
              <w:jc w:val="center"/>
            </w:pPr>
            <w:r>
              <w:t>5</w:t>
            </w:r>
          </w:p>
        </w:tc>
        <w:tc>
          <w:tcPr>
            <w:tcW w:w="4253" w:type="dxa"/>
          </w:tcPr>
          <w:p w:rsidR="00F45603" w:rsidRDefault="00F45603" w:rsidP="00E558D1">
            <w:pPr>
              <w:ind w:right="-14"/>
            </w:pPr>
          </w:p>
          <w:p w:rsidR="00F45603" w:rsidRDefault="00F45603" w:rsidP="00E558D1">
            <w:pPr>
              <w:ind w:right="-14"/>
            </w:pPr>
            <w:r>
              <w:t>Reaktywność alkaliczna (wg PN-B-06714-34 [18])</w:t>
            </w:r>
          </w:p>
        </w:tc>
        <w:tc>
          <w:tcPr>
            <w:tcW w:w="2693" w:type="dxa"/>
          </w:tcPr>
          <w:p w:rsidR="00F45603" w:rsidRDefault="00F45603" w:rsidP="00E558D1">
            <w:pPr>
              <w:spacing w:before="60" w:after="60"/>
              <w:ind w:right="-11"/>
              <w:jc w:val="center"/>
            </w:pPr>
            <w:r>
              <w:t>nie wywołująca zwiększenia wymiarów liniowych ponad 0,1%</w:t>
            </w:r>
          </w:p>
        </w:tc>
      </w:tr>
    </w:tbl>
    <w:p w:rsidR="00F45603" w:rsidRDefault="00F45603" w:rsidP="00F45603">
      <w:pPr>
        <w:ind w:right="-14"/>
      </w:pPr>
    </w:p>
    <w:p w:rsidR="00F45603" w:rsidRDefault="00F45603" w:rsidP="00F45603">
      <w:pPr>
        <w:ind w:right="-14"/>
      </w:pPr>
      <w:r>
        <w:tab/>
        <w:t>Zawartość poszczególnych frakcji w stosie okruchowym piasku powinna wynosić:</w:t>
      </w:r>
    </w:p>
    <w:p w:rsidR="00F45603" w:rsidRDefault="00F45603" w:rsidP="00F45603">
      <w:pPr>
        <w:ind w:right="-14"/>
      </w:pPr>
      <w:r>
        <w:t xml:space="preserve">do </w:t>
      </w:r>
      <w:smartTag w:uri="urn:schemas-microsoft-com:office:smarttags" w:element="metricconverter">
        <w:smartTagPr>
          <w:attr w:name="productid" w:val="0,25 mm"/>
        </w:smartTagPr>
        <w:r>
          <w:t>0,25 mm</w:t>
        </w:r>
      </w:smartTag>
      <w:r>
        <w:t xml:space="preserve">   -   od 14</w:t>
      </w:r>
      <w:r>
        <w:rPr>
          <w:b/>
        </w:rPr>
        <w:t xml:space="preserve"> </w:t>
      </w:r>
      <w:r>
        <w:t>do</w:t>
      </w:r>
      <w:r>
        <w:rPr>
          <w:b/>
        </w:rPr>
        <w:t xml:space="preserve"> </w:t>
      </w:r>
      <w:r>
        <w:t>19 %</w:t>
      </w:r>
    </w:p>
    <w:p w:rsidR="00F45603" w:rsidRDefault="00F45603" w:rsidP="00F45603">
      <w:pPr>
        <w:ind w:right="-14"/>
      </w:pPr>
      <w:r>
        <w:t xml:space="preserve">do </w:t>
      </w:r>
      <w:smartTag w:uri="urn:schemas-microsoft-com:office:smarttags" w:element="metricconverter">
        <w:smartTagPr>
          <w:attr w:name="productid" w:val="0,5 mm"/>
        </w:smartTagPr>
        <w:r>
          <w:t>0,5 mm</w:t>
        </w:r>
      </w:smartTag>
      <w:r>
        <w:t xml:space="preserve">     -   od 33 do 48 %</w:t>
      </w:r>
    </w:p>
    <w:p w:rsidR="00F45603" w:rsidRDefault="00F45603" w:rsidP="00F45603">
      <w:pPr>
        <w:ind w:right="-14"/>
      </w:pPr>
      <w:r>
        <w:t xml:space="preserve">do </w:t>
      </w:r>
      <w:smartTag w:uri="urn:schemas-microsoft-com:office:smarttags" w:element="metricconverter">
        <w:smartTagPr>
          <w:attr w:name="productid" w:val="1 mm"/>
        </w:smartTagPr>
        <w:r>
          <w:t>1 mm</w:t>
        </w:r>
      </w:smartTag>
      <w:r>
        <w:t xml:space="preserve">        -   od 57 do 76 %</w:t>
      </w:r>
    </w:p>
    <w:p w:rsidR="00F45603" w:rsidRDefault="00F45603" w:rsidP="00F45603">
      <w:pPr>
        <w:spacing w:before="120"/>
        <w:ind w:right="-11"/>
      </w:pPr>
      <w:r>
        <w:t>Żwir</w:t>
      </w:r>
    </w:p>
    <w:p w:rsidR="00F45603" w:rsidRDefault="00F45603" w:rsidP="00F45603">
      <w:pPr>
        <w:ind w:right="-14"/>
      </w:pPr>
      <w:r>
        <w:tab/>
        <w:t>Żwir powinien spełniać wymagania normy PN-B-06712 [12] dla marki 30 w zakresie cech fizycznych i chemicznych.</w:t>
      </w:r>
    </w:p>
    <w:p w:rsidR="00F45603" w:rsidRDefault="00F45603" w:rsidP="00F45603">
      <w:pPr>
        <w:ind w:right="-14"/>
      </w:pPr>
      <w:r>
        <w:tab/>
        <w:t>Ponadto mrozoodporność żwiru badaną zmodyfikowaną metodą bezpośrednią wg PN-B-11112 [19] ogranicza się do 10 %.</w:t>
      </w:r>
    </w:p>
    <w:p w:rsidR="00F45603" w:rsidRDefault="00F45603" w:rsidP="00F45603">
      <w:pPr>
        <w:ind w:right="-14"/>
      </w:pPr>
      <w:r>
        <w:tab/>
        <w:t>Żwir powinien odpowiadać wymaganiom podanym w tablicy 3.</w:t>
      </w:r>
    </w:p>
    <w:p w:rsidR="00F45603" w:rsidRDefault="00F45603" w:rsidP="00F45603">
      <w:pPr>
        <w:ind w:right="-14"/>
      </w:pPr>
    </w:p>
    <w:p w:rsidR="00F45603" w:rsidRDefault="00F45603" w:rsidP="00F45603">
      <w:pPr>
        <w:ind w:right="-14"/>
      </w:pPr>
    </w:p>
    <w:p w:rsidR="00F45603" w:rsidRDefault="00F45603" w:rsidP="00F45603">
      <w:pPr>
        <w:spacing w:before="60"/>
        <w:ind w:right="-11"/>
      </w:pPr>
      <w:r>
        <w:t xml:space="preserve">Tablica 3. Wymagania dla żwiru marki 30 do betonowych elementów konstrukcji </w:t>
      </w:r>
    </w:p>
    <w:p w:rsidR="00F45603" w:rsidRDefault="00F45603" w:rsidP="00F45603">
      <w:pPr>
        <w:spacing w:after="60"/>
        <w:ind w:right="-11"/>
      </w:pPr>
      <w: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F45603" w:rsidTr="00E558D1">
        <w:tc>
          <w:tcPr>
            <w:tcW w:w="567" w:type="dxa"/>
            <w:tcBorders>
              <w:top w:val="single" w:sz="6" w:space="0" w:color="auto"/>
              <w:left w:val="single" w:sz="6" w:space="0" w:color="auto"/>
              <w:bottom w:val="double" w:sz="6" w:space="0" w:color="auto"/>
              <w:right w:val="single" w:sz="6" w:space="0" w:color="auto"/>
            </w:tcBorders>
          </w:tcPr>
          <w:p w:rsidR="00F45603" w:rsidRDefault="00F45603" w:rsidP="00E558D1">
            <w:pPr>
              <w:spacing w:before="60" w:after="60"/>
              <w:ind w:right="-11"/>
              <w:jc w:val="center"/>
            </w:pPr>
            <w:r>
              <w:t xml:space="preserve">   Lp.              </w:t>
            </w:r>
          </w:p>
        </w:tc>
        <w:tc>
          <w:tcPr>
            <w:tcW w:w="4821" w:type="dxa"/>
            <w:tcBorders>
              <w:top w:val="single" w:sz="6" w:space="0" w:color="auto"/>
              <w:left w:val="single" w:sz="6" w:space="0" w:color="auto"/>
              <w:bottom w:val="double" w:sz="6" w:space="0" w:color="auto"/>
              <w:right w:val="single" w:sz="6" w:space="0" w:color="auto"/>
            </w:tcBorders>
          </w:tcPr>
          <w:p w:rsidR="00F45603" w:rsidRDefault="00F45603" w:rsidP="00E558D1">
            <w:pPr>
              <w:spacing w:before="60" w:after="60"/>
              <w:ind w:right="-11"/>
              <w:jc w:val="center"/>
            </w:pPr>
            <w:r>
              <w:t>Właściwości</w:t>
            </w:r>
          </w:p>
        </w:tc>
        <w:tc>
          <w:tcPr>
            <w:tcW w:w="2055" w:type="dxa"/>
            <w:tcBorders>
              <w:top w:val="single" w:sz="6" w:space="0" w:color="auto"/>
              <w:left w:val="nil"/>
              <w:bottom w:val="double" w:sz="6" w:space="0" w:color="auto"/>
              <w:right w:val="single" w:sz="6" w:space="0" w:color="auto"/>
            </w:tcBorders>
          </w:tcPr>
          <w:p w:rsidR="00F45603" w:rsidRDefault="00F45603" w:rsidP="00E558D1">
            <w:pPr>
              <w:spacing w:before="60" w:after="60"/>
              <w:ind w:right="-11"/>
              <w:jc w:val="center"/>
            </w:pPr>
            <w:r>
              <w:t>Wymagania</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120" w:after="60"/>
              <w:ind w:right="-11"/>
              <w:jc w:val="center"/>
            </w:pPr>
            <w:r>
              <w:t>1</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Wytrzymałość na miażdżenie, wskaźnik rozkruszenia, %, nie więcej niż:</w:t>
            </w:r>
          </w:p>
        </w:tc>
        <w:tc>
          <w:tcPr>
            <w:tcW w:w="2054" w:type="dxa"/>
            <w:tcBorders>
              <w:top w:val="single" w:sz="6" w:space="0" w:color="auto"/>
              <w:left w:val="nil"/>
              <w:bottom w:val="single" w:sz="6" w:space="0" w:color="auto"/>
              <w:right w:val="single" w:sz="6" w:space="0" w:color="auto"/>
            </w:tcBorders>
          </w:tcPr>
          <w:p w:rsidR="00F45603" w:rsidRDefault="00F45603" w:rsidP="00E558D1">
            <w:pPr>
              <w:spacing w:before="120" w:after="60"/>
              <w:ind w:right="-11"/>
              <w:jc w:val="center"/>
            </w:pPr>
            <w:r>
              <w:t>12</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jc w:val="center"/>
            </w:pPr>
            <w:r>
              <w:t>2</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Zawartość ziarn słabych, %, nie więcej niż:</w:t>
            </w:r>
          </w:p>
        </w:tc>
        <w:tc>
          <w:tcPr>
            <w:tcW w:w="2054" w:type="dxa"/>
            <w:tcBorders>
              <w:top w:val="single" w:sz="6" w:space="0" w:color="auto"/>
              <w:left w:val="nil"/>
              <w:bottom w:val="single" w:sz="6" w:space="0" w:color="auto"/>
              <w:right w:val="single" w:sz="6" w:space="0" w:color="auto"/>
            </w:tcBorders>
          </w:tcPr>
          <w:p w:rsidR="00F45603" w:rsidRDefault="00F45603" w:rsidP="00E558D1">
            <w:pPr>
              <w:spacing w:before="60" w:after="60"/>
              <w:ind w:right="-11"/>
              <w:jc w:val="center"/>
            </w:pPr>
            <w:r>
              <w:t>5</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jc w:val="center"/>
            </w:pPr>
            <w:r>
              <w:t>3</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Nasiąkliwość, %, nie więcej niż:</w:t>
            </w:r>
          </w:p>
        </w:tc>
        <w:tc>
          <w:tcPr>
            <w:tcW w:w="2054" w:type="dxa"/>
            <w:tcBorders>
              <w:top w:val="single" w:sz="6" w:space="0" w:color="auto"/>
              <w:left w:val="nil"/>
              <w:bottom w:val="single" w:sz="6" w:space="0" w:color="auto"/>
              <w:right w:val="single" w:sz="6" w:space="0" w:color="auto"/>
            </w:tcBorders>
          </w:tcPr>
          <w:p w:rsidR="00F45603" w:rsidRDefault="00F45603" w:rsidP="00E558D1">
            <w:pPr>
              <w:spacing w:before="60" w:after="60"/>
              <w:ind w:right="-11"/>
              <w:jc w:val="center"/>
            </w:pPr>
            <w:r>
              <w:t>1,0</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120" w:after="60"/>
              <w:ind w:right="-11"/>
              <w:jc w:val="center"/>
            </w:pPr>
            <w:r>
              <w:t>4</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F45603" w:rsidRDefault="00F45603" w:rsidP="00E558D1">
            <w:pPr>
              <w:spacing w:before="120" w:after="60"/>
              <w:ind w:right="-11"/>
              <w:jc w:val="center"/>
            </w:pPr>
            <w:r>
              <w:t>5,0</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jc w:val="center"/>
            </w:pPr>
            <w:r>
              <w:t>5</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Zawartość ziarn nieforemnych, %, nie więcej niż:</w:t>
            </w:r>
          </w:p>
        </w:tc>
        <w:tc>
          <w:tcPr>
            <w:tcW w:w="2054" w:type="dxa"/>
            <w:tcBorders>
              <w:top w:val="single" w:sz="6" w:space="0" w:color="auto"/>
              <w:left w:val="nil"/>
              <w:bottom w:val="single" w:sz="6" w:space="0" w:color="auto"/>
              <w:right w:val="single" w:sz="6" w:space="0" w:color="auto"/>
            </w:tcBorders>
          </w:tcPr>
          <w:p w:rsidR="00F45603" w:rsidRDefault="00F45603" w:rsidP="00E558D1">
            <w:pPr>
              <w:spacing w:before="60" w:after="60"/>
              <w:ind w:right="-11"/>
              <w:jc w:val="center"/>
            </w:pPr>
            <w:r>
              <w:t>20</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jc w:val="center"/>
            </w:pPr>
            <w:r>
              <w:t>6</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Zawartość pyłów mineralnych, %, nie więcej niż:</w:t>
            </w:r>
          </w:p>
        </w:tc>
        <w:tc>
          <w:tcPr>
            <w:tcW w:w="2054" w:type="dxa"/>
            <w:tcBorders>
              <w:top w:val="single" w:sz="6" w:space="0" w:color="auto"/>
              <w:left w:val="nil"/>
              <w:bottom w:val="single" w:sz="6" w:space="0" w:color="auto"/>
              <w:right w:val="single" w:sz="6" w:space="0" w:color="auto"/>
            </w:tcBorders>
          </w:tcPr>
          <w:p w:rsidR="00F45603" w:rsidRDefault="00F45603" w:rsidP="00E558D1">
            <w:pPr>
              <w:spacing w:before="60" w:after="60"/>
              <w:ind w:right="-11"/>
              <w:jc w:val="center"/>
            </w:pPr>
            <w:r>
              <w:t>1,5</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jc w:val="center"/>
            </w:pPr>
            <w:r>
              <w:t>7</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jc w:val="center"/>
            </w:pPr>
            <w:r>
              <w:t>0,25</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jc w:val="center"/>
            </w:pPr>
            <w:r>
              <w:t>8</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Zawartość związków siarki, %, nie więcej niż:</w:t>
            </w:r>
          </w:p>
        </w:tc>
        <w:tc>
          <w:tcPr>
            <w:tcW w:w="2054" w:type="dxa"/>
            <w:tcBorders>
              <w:top w:val="single" w:sz="6" w:space="0" w:color="auto"/>
              <w:left w:val="nil"/>
              <w:bottom w:val="single" w:sz="6" w:space="0" w:color="auto"/>
              <w:right w:val="single" w:sz="6" w:space="0" w:color="auto"/>
            </w:tcBorders>
          </w:tcPr>
          <w:p w:rsidR="00F45603" w:rsidRDefault="00F45603" w:rsidP="00E558D1">
            <w:pPr>
              <w:spacing w:before="60" w:after="60"/>
              <w:ind w:right="-11"/>
              <w:jc w:val="center"/>
            </w:pPr>
            <w:r>
              <w:t>0,1</w:t>
            </w:r>
          </w:p>
        </w:tc>
      </w:tr>
      <w:tr w:rsidR="00F45603" w:rsidTr="00E558D1">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120" w:after="60"/>
              <w:ind w:right="-11"/>
              <w:jc w:val="center"/>
            </w:pPr>
            <w:r>
              <w:t>9</w:t>
            </w:r>
          </w:p>
        </w:tc>
        <w:tc>
          <w:tcPr>
            <w:tcW w:w="482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after="60"/>
              <w:ind w:right="-11"/>
            </w:pPr>
            <w: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120" w:after="60"/>
              <w:ind w:right="-11"/>
              <w:jc w:val="center"/>
            </w:pPr>
            <w:r>
              <w:t>wzorcowa</w:t>
            </w:r>
          </w:p>
        </w:tc>
      </w:tr>
    </w:tbl>
    <w:p w:rsidR="00F45603" w:rsidRDefault="00F45603" w:rsidP="00F45603">
      <w:pPr>
        <w:ind w:right="-14"/>
      </w:pPr>
    </w:p>
    <w:p w:rsidR="00F45603" w:rsidRDefault="00F45603" w:rsidP="00F45603"/>
    <w:p w:rsidR="00F45603" w:rsidRDefault="00F45603" w:rsidP="00F45603">
      <w:r>
        <w:t>Rysunek 1. Krzywe graniczne uziarnienia kruszywa do betonu</w:t>
      </w:r>
    </w:p>
    <w:p w:rsidR="00F45603" w:rsidRDefault="00F45603" w:rsidP="00F45603">
      <w:pPr>
        <w:framePr w:hSpace="141" w:wrap="around" w:vAnchor="text" w:hAnchor="page" w:x="2587" w:y="82"/>
      </w:pPr>
      <w:r>
        <w:rPr>
          <w:noProof/>
          <w:lang w:eastAsia="pl-PL"/>
        </w:rPr>
        <w:drawing>
          <wp:inline distT="0" distB="0" distL="0" distR="0" wp14:anchorId="0484CB42" wp14:editId="75765673">
            <wp:extent cx="3924300" cy="2514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4300" cy="2514600"/>
                    </a:xfrm>
                    <a:prstGeom prst="rect">
                      <a:avLst/>
                    </a:prstGeom>
                    <a:noFill/>
                    <a:ln>
                      <a:noFill/>
                    </a:ln>
                  </pic:spPr>
                </pic:pic>
              </a:graphicData>
            </a:graphic>
          </wp:inline>
        </w:drawing>
      </w:r>
    </w:p>
    <w:p w:rsidR="00F45603" w:rsidRDefault="00F45603" w:rsidP="00F45603">
      <w:pPr>
        <w:rPr>
          <w:b/>
        </w:rPr>
      </w:pPr>
    </w:p>
    <w:p w:rsidR="00F45603" w:rsidRDefault="00F45603" w:rsidP="00F45603">
      <w:pPr>
        <w:rPr>
          <w:b/>
        </w:rPr>
      </w:pPr>
    </w:p>
    <w:p w:rsidR="00F45603" w:rsidRDefault="00F45603" w:rsidP="00F45603">
      <w:pPr>
        <w:rPr>
          <w:b/>
        </w:rPr>
      </w:pPr>
    </w:p>
    <w:p w:rsidR="00F45603" w:rsidRDefault="00F45603" w:rsidP="00F45603">
      <w:r>
        <w:rPr>
          <w:b/>
        </w:rPr>
        <w:t xml:space="preserve">2.3.3. </w:t>
      </w:r>
      <w:r>
        <w:t xml:space="preserve"> Uziarnienie mieszanki mineralnej</w:t>
      </w:r>
      <w:r>
        <w:tab/>
      </w:r>
    </w:p>
    <w:p w:rsidR="00F45603" w:rsidRDefault="00F45603" w:rsidP="00F45603">
      <w:pPr>
        <w:spacing w:before="120"/>
      </w:pPr>
      <w:r>
        <w:tab/>
        <w:t>Składniki mieszanki mineralnej dla betonu powinny być tak dobrane, aby krzywa uziarnienia mieszanki mineralnej mieściła się w krzywych granicznych pola dobrego uziarnienia, rys. 1.</w:t>
      </w:r>
    </w:p>
    <w:p w:rsidR="00F45603" w:rsidRDefault="00F45603" w:rsidP="00F45603">
      <w:pPr>
        <w:keepNext/>
        <w:spacing w:before="120"/>
      </w:pPr>
      <w:r>
        <w:rPr>
          <w:b/>
        </w:rPr>
        <w:t xml:space="preserve">2.3.4. </w:t>
      </w:r>
      <w:r>
        <w:t>Składowanie kruszywa</w:t>
      </w:r>
    </w:p>
    <w:p w:rsidR="00F45603" w:rsidRDefault="00F45603" w:rsidP="00F45603">
      <w:pPr>
        <w:spacing w:before="120"/>
      </w:pPr>
      <w: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F45603" w:rsidRDefault="00F45603" w:rsidP="00F45603">
      <w:r>
        <w:tab/>
        <w:t xml:space="preserve">Poszczególne kruszywa należy składować oddzielnie, w zasiekach uniemożliwiających wymieszanie się sąsiednich pryzm. Zaleca się, aby frakcje drobne kruszywa (poniżej </w:t>
      </w:r>
      <w:smartTag w:uri="urn:schemas-microsoft-com:office:smarttags" w:element="metricconverter">
        <w:smartTagPr>
          <w:attr w:name="productid" w:val="4 mm"/>
        </w:smartTagPr>
        <w:r>
          <w:t>4 mm</w:t>
        </w:r>
      </w:smartTag>
      <w:r>
        <w:t>) były chronione przed opadami za pomocą plandek lub zadaszeń.</w:t>
      </w:r>
    </w:p>
    <w:p w:rsidR="00F45603" w:rsidRDefault="00F45603" w:rsidP="00F45603">
      <w:r>
        <w:tab/>
        <w:t>Warunki składowania oraz lokalizacja składowiska powinny być wcześniej uzgodnione z Inżynierem.</w:t>
      </w:r>
    </w:p>
    <w:p w:rsidR="00F45603" w:rsidRDefault="00F45603" w:rsidP="00F45603">
      <w:pPr>
        <w:spacing w:before="120"/>
      </w:pPr>
      <w:r>
        <w:rPr>
          <w:b/>
        </w:rPr>
        <w:t xml:space="preserve">2.3.5. </w:t>
      </w:r>
      <w:r>
        <w:t>Cement</w:t>
      </w:r>
    </w:p>
    <w:p w:rsidR="00F45603" w:rsidRDefault="00F45603" w:rsidP="00F45603">
      <w:pPr>
        <w:spacing w:before="120"/>
      </w:pPr>
      <w:r>
        <w:rPr>
          <w:b/>
        </w:rPr>
        <w:t xml:space="preserve">2.3.5.1. </w:t>
      </w:r>
      <w:r>
        <w:t>Wymagania</w:t>
      </w:r>
    </w:p>
    <w:p w:rsidR="00F45603" w:rsidRDefault="00F45603" w:rsidP="00F45603">
      <w:pPr>
        <w:spacing w:before="120"/>
      </w:pPr>
      <w:r>
        <w:tab/>
        <w:t>Cement stosowany do wyrobu betonowych elementów konstrukcji przepustów winien spełniać wymagania normy PN-B-19701 [21].</w:t>
      </w:r>
    </w:p>
    <w:p w:rsidR="00F45603" w:rsidRDefault="00F45603" w:rsidP="00F45603">
      <w:r>
        <w:tab/>
        <w:t>Należy stosować wyłącznie cement portlandzki (bez dodatków). Do betonu klas            B 25, B 30 i B 40 należy stosować cement klasy 32,5 i 42,5.</w:t>
      </w:r>
    </w:p>
    <w:p w:rsidR="00F45603" w:rsidRDefault="00F45603" w:rsidP="00F45603">
      <w:r>
        <w:tab/>
        <w:t>Wymagania dla cementu zestawiono w tablicy 4.</w:t>
      </w:r>
    </w:p>
    <w:p w:rsidR="00F45603" w:rsidRDefault="00F45603" w:rsidP="00F45603">
      <w:r>
        <w:t xml:space="preserve">Tablica 4.   Wymagania  ogólne  dla  cementu  do  betonowych  elementów  konstrukcji </w:t>
      </w:r>
    </w:p>
    <w:p w:rsidR="00F45603" w:rsidRDefault="00F45603" w:rsidP="00F45603">
      <w: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F45603" w:rsidTr="00E558D1">
        <w:tc>
          <w:tcPr>
            <w:tcW w:w="496" w:type="dxa"/>
            <w:tcBorders>
              <w:top w:val="single" w:sz="6" w:space="0" w:color="auto"/>
              <w:left w:val="single" w:sz="6" w:space="0" w:color="auto"/>
            </w:tcBorders>
          </w:tcPr>
          <w:p w:rsidR="00F45603" w:rsidRDefault="00F45603" w:rsidP="00E558D1">
            <w:pPr>
              <w:spacing w:before="120"/>
              <w:jc w:val="center"/>
            </w:pPr>
            <w:r>
              <w:t xml:space="preserve"> Lp.</w:t>
            </w:r>
          </w:p>
        </w:tc>
        <w:tc>
          <w:tcPr>
            <w:tcW w:w="4979" w:type="dxa"/>
            <w:gridSpan w:val="2"/>
            <w:tcBorders>
              <w:top w:val="single" w:sz="6" w:space="0" w:color="auto"/>
              <w:left w:val="single" w:sz="6" w:space="0" w:color="auto"/>
              <w:right w:val="single" w:sz="6" w:space="0" w:color="auto"/>
            </w:tcBorders>
          </w:tcPr>
          <w:p w:rsidR="00F45603" w:rsidRDefault="00F45603" w:rsidP="00E558D1">
            <w:pPr>
              <w:spacing w:before="120"/>
              <w:jc w:val="center"/>
            </w:pPr>
            <w:r>
              <w:t>Wymagania</w:t>
            </w:r>
          </w:p>
        </w:tc>
        <w:tc>
          <w:tcPr>
            <w:tcW w:w="1966" w:type="dxa"/>
            <w:gridSpan w:val="2"/>
            <w:tcBorders>
              <w:top w:val="single" w:sz="6" w:space="0" w:color="auto"/>
              <w:left w:val="nil"/>
              <w:bottom w:val="single" w:sz="6" w:space="0" w:color="auto"/>
              <w:right w:val="single" w:sz="6" w:space="0" w:color="auto"/>
            </w:tcBorders>
          </w:tcPr>
          <w:p w:rsidR="00F45603" w:rsidRDefault="00F45603" w:rsidP="00E558D1">
            <w:pPr>
              <w:spacing w:before="60"/>
              <w:jc w:val="center"/>
            </w:pPr>
            <w:r>
              <w:t>Marka cementu</w:t>
            </w:r>
          </w:p>
        </w:tc>
      </w:tr>
      <w:tr w:rsidR="00F45603" w:rsidTr="00E558D1">
        <w:tc>
          <w:tcPr>
            <w:tcW w:w="496" w:type="dxa"/>
            <w:tcBorders>
              <w:left w:val="single" w:sz="6" w:space="0" w:color="auto"/>
              <w:bottom w:val="double" w:sz="6" w:space="0" w:color="auto"/>
            </w:tcBorders>
          </w:tcPr>
          <w:p w:rsidR="00F45603" w:rsidRDefault="00F45603" w:rsidP="00E558D1">
            <w:pPr>
              <w:jc w:val="right"/>
            </w:pPr>
          </w:p>
        </w:tc>
        <w:tc>
          <w:tcPr>
            <w:tcW w:w="4979" w:type="dxa"/>
            <w:gridSpan w:val="2"/>
            <w:tcBorders>
              <w:left w:val="single" w:sz="6" w:space="0" w:color="auto"/>
              <w:bottom w:val="double" w:sz="6" w:space="0" w:color="auto"/>
              <w:right w:val="single" w:sz="6" w:space="0" w:color="auto"/>
            </w:tcBorders>
          </w:tcPr>
          <w:p w:rsidR="00F45603" w:rsidRDefault="00F45603" w:rsidP="00E558D1"/>
        </w:tc>
        <w:tc>
          <w:tcPr>
            <w:tcW w:w="986" w:type="dxa"/>
            <w:tcBorders>
              <w:top w:val="single" w:sz="6" w:space="0" w:color="auto"/>
              <w:left w:val="nil"/>
              <w:bottom w:val="double" w:sz="6" w:space="0" w:color="auto"/>
              <w:right w:val="single" w:sz="6" w:space="0" w:color="auto"/>
            </w:tcBorders>
          </w:tcPr>
          <w:p w:rsidR="00F45603" w:rsidRDefault="00F45603" w:rsidP="00E558D1">
            <w:pPr>
              <w:jc w:val="center"/>
            </w:pPr>
            <w:r>
              <w:t>42,5</w:t>
            </w:r>
          </w:p>
        </w:tc>
        <w:tc>
          <w:tcPr>
            <w:tcW w:w="980" w:type="dxa"/>
            <w:tcBorders>
              <w:top w:val="single" w:sz="6" w:space="0" w:color="auto"/>
              <w:left w:val="single" w:sz="6" w:space="0" w:color="auto"/>
              <w:bottom w:val="double" w:sz="6" w:space="0" w:color="auto"/>
              <w:right w:val="single" w:sz="6" w:space="0" w:color="auto"/>
            </w:tcBorders>
          </w:tcPr>
          <w:p w:rsidR="00F45603" w:rsidRDefault="00F45603" w:rsidP="00E558D1">
            <w:pPr>
              <w:jc w:val="center"/>
            </w:pPr>
            <w:r>
              <w:t>32,5</w:t>
            </w:r>
          </w:p>
        </w:tc>
      </w:tr>
      <w:tr w:rsidR="00F45603" w:rsidTr="00E558D1">
        <w:tc>
          <w:tcPr>
            <w:tcW w:w="496" w:type="dxa"/>
            <w:tcBorders>
              <w:top w:val="single" w:sz="6" w:space="0" w:color="auto"/>
              <w:left w:val="single" w:sz="6" w:space="0" w:color="auto"/>
              <w:right w:val="single" w:sz="6" w:space="0" w:color="auto"/>
            </w:tcBorders>
          </w:tcPr>
          <w:p w:rsidR="00F45603" w:rsidRDefault="00F45603" w:rsidP="00E558D1">
            <w:pPr>
              <w:jc w:val="center"/>
            </w:pPr>
            <w:r>
              <w:t>1</w:t>
            </w:r>
          </w:p>
        </w:tc>
        <w:tc>
          <w:tcPr>
            <w:tcW w:w="2409" w:type="dxa"/>
            <w:tcBorders>
              <w:top w:val="single" w:sz="6" w:space="0" w:color="auto"/>
              <w:left w:val="single" w:sz="6" w:space="0" w:color="auto"/>
            </w:tcBorders>
          </w:tcPr>
          <w:p w:rsidR="00F45603" w:rsidRDefault="00F45603" w:rsidP="00E558D1">
            <w:r>
              <w:t>Wytrzymałość na ściskanie,</w:t>
            </w:r>
          </w:p>
        </w:tc>
        <w:tc>
          <w:tcPr>
            <w:tcW w:w="2570" w:type="dxa"/>
            <w:tcBorders>
              <w:top w:val="single" w:sz="6" w:space="0" w:color="auto"/>
              <w:left w:val="single" w:sz="6" w:space="0" w:color="auto"/>
              <w:right w:val="single" w:sz="6" w:space="0" w:color="auto"/>
            </w:tcBorders>
          </w:tcPr>
          <w:p w:rsidR="00F45603" w:rsidRDefault="00F45603" w:rsidP="00E558D1">
            <w:pPr>
              <w:pBdr>
                <w:bottom w:val="single" w:sz="6" w:space="1" w:color="auto"/>
              </w:pBdr>
            </w:pPr>
            <w:r>
              <w:t>po 2 dniach</w:t>
            </w:r>
          </w:p>
        </w:tc>
        <w:tc>
          <w:tcPr>
            <w:tcW w:w="984" w:type="dxa"/>
            <w:tcBorders>
              <w:top w:val="single" w:sz="6" w:space="0" w:color="auto"/>
              <w:left w:val="single" w:sz="6" w:space="0" w:color="auto"/>
              <w:right w:val="single" w:sz="6" w:space="0" w:color="auto"/>
            </w:tcBorders>
          </w:tcPr>
          <w:p w:rsidR="00F45603" w:rsidRDefault="00F45603" w:rsidP="00E558D1">
            <w:pPr>
              <w:pBdr>
                <w:bottom w:val="single" w:sz="6" w:space="1" w:color="auto"/>
              </w:pBdr>
              <w:jc w:val="center"/>
            </w:pPr>
            <w:r>
              <w:t>10</w:t>
            </w:r>
          </w:p>
        </w:tc>
        <w:tc>
          <w:tcPr>
            <w:tcW w:w="982" w:type="dxa"/>
            <w:tcBorders>
              <w:top w:val="single" w:sz="6" w:space="0" w:color="auto"/>
              <w:left w:val="single" w:sz="6" w:space="0" w:color="auto"/>
              <w:right w:val="single" w:sz="6" w:space="0" w:color="auto"/>
            </w:tcBorders>
          </w:tcPr>
          <w:p w:rsidR="00F45603" w:rsidRDefault="00F45603" w:rsidP="00E558D1">
            <w:pPr>
              <w:pBdr>
                <w:bottom w:val="single" w:sz="6" w:space="1" w:color="auto"/>
              </w:pBdr>
              <w:jc w:val="center"/>
            </w:pPr>
            <w:r>
              <w:t>-</w:t>
            </w:r>
          </w:p>
        </w:tc>
      </w:tr>
      <w:tr w:rsidR="00F45603" w:rsidTr="00E558D1">
        <w:tc>
          <w:tcPr>
            <w:tcW w:w="496" w:type="dxa"/>
            <w:tcBorders>
              <w:left w:val="single" w:sz="6" w:space="0" w:color="auto"/>
              <w:bottom w:val="single" w:sz="6" w:space="0" w:color="auto"/>
              <w:right w:val="single" w:sz="6" w:space="0" w:color="auto"/>
            </w:tcBorders>
          </w:tcPr>
          <w:p w:rsidR="00F45603" w:rsidRDefault="00F45603" w:rsidP="00E558D1">
            <w:pPr>
              <w:jc w:val="center"/>
            </w:pPr>
          </w:p>
        </w:tc>
        <w:tc>
          <w:tcPr>
            <w:tcW w:w="2409" w:type="dxa"/>
            <w:tcBorders>
              <w:left w:val="single" w:sz="6" w:space="0" w:color="auto"/>
              <w:bottom w:val="single" w:sz="6" w:space="0" w:color="auto"/>
            </w:tcBorders>
          </w:tcPr>
          <w:p w:rsidR="00F45603" w:rsidRDefault="00F45603" w:rsidP="00E558D1">
            <w:r>
              <w:t>MPa, nie mniej niż:</w:t>
            </w:r>
          </w:p>
        </w:tc>
        <w:tc>
          <w:tcPr>
            <w:tcW w:w="2570" w:type="dxa"/>
            <w:tcBorders>
              <w:left w:val="single" w:sz="6" w:space="0" w:color="auto"/>
              <w:bottom w:val="single" w:sz="6" w:space="0" w:color="auto"/>
              <w:right w:val="single" w:sz="6" w:space="0" w:color="auto"/>
            </w:tcBorders>
          </w:tcPr>
          <w:p w:rsidR="00F45603" w:rsidRDefault="00F45603" w:rsidP="00E558D1">
            <w:pPr>
              <w:pBdr>
                <w:bottom w:val="single" w:sz="6" w:space="1" w:color="auto"/>
              </w:pBdr>
            </w:pPr>
            <w:r>
              <w:t>po 7 dniach</w:t>
            </w:r>
          </w:p>
          <w:p w:rsidR="00F45603" w:rsidRDefault="00F45603" w:rsidP="00E558D1">
            <w:r>
              <w:t>po 28 dniach</w:t>
            </w:r>
          </w:p>
        </w:tc>
        <w:tc>
          <w:tcPr>
            <w:tcW w:w="984" w:type="dxa"/>
            <w:tcBorders>
              <w:left w:val="single" w:sz="6" w:space="0" w:color="auto"/>
              <w:bottom w:val="single" w:sz="6" w:space="0" w:color="auto"/>
              <w:right w:val="single" w:sz="6" w:space="0" w:color="auto"/>
            </w:tcBorders>
          </w:tcPr>
          <w:p w:rsidR="00F45603" w:rsidRDefault="00F45603" w:rsidP="00E558D1">
            <w:pPr>
              <w:pBdr>
                <w:bottom w:val="single" w:sz="6" w:space="1" w:color="auto"/>
              </w:pBdr>
              <w:jc w:val="center"/>
            </w:pPr>
            <w:r>
              <w:t>-</w:t>
            </w:r>
          </w:p>
          <w:p w:rsidR="00F45603" w:rsidRDefault="00F45603" w:rsidP="00E558D1">
            <w:pPr>
              <w:jc w:val="center"/>
            </w:pPr>
            <w:r>
              <w:t>42,5</w:t>
            </w:r>
          </w:p>
        </w:tc>
        <w:tc>
          <w:tcPr>
            <w:tcW w:w="982" w:type="dxa"/>
            <w:tcBorders>
              <w:left w:val="single" w:sz="6" w:space="0" w:color="auto"/>
              <w:bottom w:val="single" w:sz="6" w:space="0" w:color="auto"/>
              <w:right w:val="single" w:sz="6" w:space="0" w:color="auto"/>
            </w:tcBorders>
          </w:tcPr>
          <w:p w:rsidR="00F45603" w:rsidRDefault="00F45603" w:rsidP="00E558D1">
            <w:pPr>
              <w:pBdr>
                <w:bottom w:val="single" w:sz="6" w:space="1" w:color="auto"/>
              </w:pBdr>
              <w:jc w:val="center"/>
            </w:pPr>
            <w:r>
              <w:t>16</w:t>
            </w:r>
          </w:p>
          <w:p w:rsidR="00F45603" w:rsidRDefault="00F45603" w:rsidP="00E558D1">
            <w:pPr>
              <w:jc w:val="center"/>
              <w:rPr>
                <w:b/>
              </w:rPr>
            </w:pPr>
            <w:r>
              <w:t>32,5</w:t>
            </w:r>
          </w:p>
        </w:tc>
      </w:tr>
      <w:tr w:rsidR="00F45603" w:rsidTr="00E558D1">
        <w:tc>
          <w:tcPr>
            <w:tcW w:w="49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2</w:t>
            </w:r>
          </w:p>
        </w:tc>
        <w:tc>
          <w:tcPr>
            <w:tcW w:w="2409" w:type="dxa"/>
            <w:tcBorders>
              <w:top w:val="single" w:sz="6" w:space="0" w:color="auto"/>
              <w:left w:val="single" w:sz="6" w:space="0" w:color="auto"/>
              <w:bottom w:val="single" w:sz="6" w:space="0" w:color="auto"/>
              <w:right w:val="single" w:sz="6" w:space="0" w:color="auto"/>
            </w:tcBorders>
          </w:tcPr>
          <w:p w:rsidR="00F45603" w:rsidRDefault="00F45603" w:rsidP="00E558D1">
            <w:r>
              <w:t>Czas wiązania</w:t>
            </w:r>
          </w:p>
        </w:tc>
        <w:tc>
          <w:tcPr>
            <w:tcW w:w="2570" w:type="dxa"/>
            <w:tcBorders>
              <w:left w:val="single" w:sz="6" w:space="0" w:color="auto"/>
              <w:bottom w:val="single" w:sz="6" w:space="0" w:color="auto"/>
              <w:right w:val="single" w:sz="6" w:space="0" w:color="auto"/>
            </w:tcBorders>
          </w:tcPr>
          <w:p w:rsidR="00F45603" w:rsidRDefault="00F45603" w:rsidP="00E558D1">
            <w:pPr>
              <w:pBdr>
                <w:bottom w:val="single" w:sz="6" w:space="1" w:color="auto"/>
              </w:pBdr>
            </w:pPr>
            <w:r>
              <w:t>początek wiązania, najwcześ-niej po upływie min.</w:t>
            </w:r>
          </w:p>
          <w:p w:rsidR="00F45603" w:rsidRDefault="00F45603" w:rsidP="00E558D1">
            <w:r>
              <w:t>koniec wiązania najpóźniej, h</w:t>
            </w:r>
          </w:p>
        </w:tc>
        <w:tc>
          <w:tcPr>
            <w:tcW w:w="984" w:type="dxa"/>
            <w:tcBorders>
              <w:left w:val="single" w:sz="6" w:space="0" w:color="auto"/>
              <w:bottom w:val="single" w:sz="6" w:space="0" w:color="auto"/>
              <w:right w:val="single" w:sz="6" w:space="0" w:color="auto"/>
            </w:tcBorders>
          </w:tcPr>
          <w:p w:rsidR="00F45603" w:rsidRDefault="00F45603" w:rsidP="00E558D1">
            <w:pPr>
              <w:pBdr>
                <w:bottom w:val="single" w:sz="6" w:space="1" w:color="auto"/>
              </w:pBdr>
              <w:jc w:val="center"/>
            </w:pPr>
            <w:r>
              <w:t>60</w:t>
            </w:r>
          </w:p>
          <w:p w:rsidR="00F45603" w:rsidRDefault="00F45603" w:rsidP="00E558D1">
            <w:pPr>
              <w:pBdr>
                <w:bottom w:val="single" w:sz="6" w:space="1" w:color="auto"/>
              </w:pBdr>
              <w:jc w:val="center"/>
            </w:pPr>
          </w:p>
          <w:p w:rsidR="00F45603" w:rsidRDefault="00F45603" w:rsidP="00E558D1">
            <w:pPr>
              <w:jc w:val="center"/>
            </w:pPr>
            <w:r>
              <w:t>12</w:t>
            </w:r>
          </w:p>
        </w:tc>
        <w:tc>
          <w:tcPr>
            <w:tcW w:w="982" w:type="dxa"/>
            <w:tcBorders>
              <w:left w:val="nil"/>
              <w:bottom w:val="single" w:sz="6" w:space="0" w:color="auto"/>
              <w:right w:val="single" w:sz="6" w:space="0" w:color="auto"/>
            </w:tcBorders>
          </w:tcPr>
          <w:p w:rsidR="00F45603" w:rsidRDefault="00F45603" w:rsidP="00E558D1">
            <w:pPr>
              <w:pBdr>
                <w:bottom w:val="single" w:sz="6" w:space="1" w:color="auto"/>
              </w:pBdr>
              <w:jc w:val="center"/>
            </w:pPr>
            <w:r>
              <w:t>60</w:t>
            </w:r>
          </w:p>
          <w:p w:rsidR="00F45603" w:rsidRDefault="00F45603" w:rsidP="00E558D1">
            <w:pPr>
              <w:pBdr>
                <w:bottom w:val="single" w:sz="6" w:space="1" w:color="auto"/>
              </w:pBdr>
              <w:jc w:val="center"/>
            </w:pPr>
          </w:p>
          <w:p w:rsidR="00F45603" w:rsidRDefault="00F45603" w:rsidP="00E558D1">
            <w:pPr>
              <w:jc w:val="center"/>
              <w:rPr>
                <w:b/>
              </w:rPr>
            </w:pPr>
            <w:r>
              <w:t>12</w:t>
            </w:r>
          </w:p>
        </w:tc>
      </w:tr>
      <w:tr w:rsidR="00F45603" w:rsidTr="00E558D1">
        <w:tc>
          <w:tcPr>
            <w:tcW w:w="49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3</w:t>
            </w:r>
          </w:p>
        </w:tc>
        <w:tc>
          <w:tcPr>
            <w:tcW w:w="2409" w:type="dxa"/>
            <w:tcBorders>
              <w:top w:val="single" w:sz="6" w:space="0" w:color="auto"/>
              <w:left w:val="single" w:sz="6" w:space="0" w:color="auto"/>
              <w:bottom w:val="single" w:sz="6" w:space="0" w:color="auto"/>
            </w:tcBorders>
          </w:tcPr>
          <w:p w:rsidR="00F45603" w:rsidRDefault="00F45603" w:rsidP="00E558D1">
            <w:r>
              <w:t xml:space="preserve">Stałość  objętości,  mm   nie </w:t>
            </w:r>
          </w:p>
        </w:tc>
        <w:tc>
          <w:tcPr>
            <w:tcW w:w="2570" w:type="dxa"/>
            <w:tcBorders>
              <w:bottom w:val="single" w:sz="6" w:space="0" w:color="auto"/>
              <w:right w:val="single" w:sz="6" w:space="0" w:color="auto"/>
            </w:tcBorders>
          </w:tcPr>
          <w:p w:rsidR="00F45603" w:rsidRDefault="00F45603" w:rsidP="00E558D1">
            <w:r>
              <w:t>więcej niż:</w:t>
            </w:r>
          </w:p>
        </w:tc>
        <w:tc>
          <w:tcPr>
            <w:tcW w:w="984" w:type="dxa"/>
            <w:tcBorders>
              <w:left w:val="single" w:sz="6" w:space="0" w:color="auto"/>
              <w:bottom w:val="single" w:sz="6" w:space="0" w:color="auto"/>
              <w:right w:val="single" w:sz="6" w:space="0" w:color="auto"/>
            </w:tcBorders>
          </w:tcPr>
          <w:p w:rsidR="00F45603" w:rsidRDefault="00F45603" w:rsidP="00E558D1">
            <w:pPr>
              <w:jc w:val="center"/>
            </w:pPr>
            <w:r>
              <w:t>10</w:t>
            </w:r>
          </w:p>
        </w:tc>
        <w:tc>
          <w:tcPr>
            <w:tcW w:w="982" w:type="dxa"/>
            <w:tcBorders>
              <w:left w:val="nil"/>
              <w:right w:val="single" w:sz="6" w:space="0" w:color="auto"/>
            </w:tcBorders>
          </w:tcPr>
          <w:p w:rsidR="00F45603" w:rsidRDefault="00F45603" w:rsidP="00E558D1">
            <w:pPr>
              <w:jc w:val="center"/>
            </w:pPr>
            <w:r>
              <w:t>10</w:t>
            </w:r>
          </w:p>
        </w:tc>
      </w:tr>
      <w:tr w:rsidR="00F45603" w:rsidTr="00E558D1">
        <w:tc>
          <w:tcPr>
            <w:tcW w:w="49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4</w:t>
            </w:r>
          </w:p>
        </w:tc>
        <w:tc>
          <w:tcPr>
            <w:tcW w:w="4979" w:type="dxa"/>
            <w:gridSpan w:val="2"/>
            <w:tcBorders>
              <w:top w:val="single" w:sz="6" w:space="0" w:color="auto"/>
              <w:left w:val="single" w:sz="6" w:space="0" w:color="auto"/>
              <w:bottom w:val="single" w:sz="6" w:space="0" w:color="auto"/>
              <w:right w:val="single" w:sz="6" w:space="0" w:color="auto"/>
            </w:tcBorders>
          </w:tcPr>
          <w:p w:rsidR="00F45603" w:rsidRDefault="00F45603" w:rsidP="00E558D1">
            <w:r>
              <w:t>Zawartość SO</w:t>
            </w:r>
            <w:r>
              <w:rPr>
                <w:vertAlign w:val="subscript"/>
              </w:rPr>
              <w:t>3</w:t>
            </w:r>
            <w: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3,5</w:t>
            </w:r>
          </w:p>
        </w:tc>
        <w:tc>
          <w:tcPr>
            <w:tcW w:w="980"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3,5</w:t>
            </w:r>
          </w:p>
        </w:tc>
      </w:tr>
      <w:tr w:rsidR="00F45603" w:rsidTr="00E558D1">
        <w:tc>
          <w:tcPr>
            <w:tcW w:w="49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5</w:t>
            </w:r>
          </w:p>
        </w:tc>
        <w:tc>
          <w:tcPr>
            <w:tcW w:w="4979" w:type="dxa"/>
            <w:gridSpan w:val="2"/>
            <w:tcBorders>
              <w:top w:val="single" w:sz="6" w:space="0" w:color="auto"/>
              <w:left w:val="single" w:sz="6" w:space="0" w:color="auto"/>
              <w:bottom w:val="single" w:sz="6" w:space="0" w:color="auto"/>
              <w:right w:val="single" w:sz="6" w:space="0" w:color="auto"/>
            </w:tcBorders>
          </w:tcPr>
          <w:p w:rsidR="00F45603" w:rsidRDefault="00F45603" w:rsidP="00E558D1">
            <w: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0,10</w:t>
            </w:r>
          </w:p>
        </w:tc>
        <w:tc>
          <w:tcPr>
            <w:tcW w:w="980"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0,10</w:t>
            </w:r>
          </w:p>
        </w:tc>
      </w:tr>
      <w:tr w:rsidR="00F45603" w:rsidTr="00E558D1">
        <w:tc>
          <w:tcPr>
            <w:tcW w:w="49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6</w:t>
            </w:r>
          </w:p>
        </w:tc>
        <w:tc>
          <w:tcPr>
            <w:tcW w:w="4979" w:type="dxa"/>
            <w:gridSpan w:val="2"/>
            <w:tcBorders>
              <w:top w:val="single" w:sz="6" w:space="0" w:color="auto"/>
              <w:left w:val="single" w:sz="6" w:space="0" w:color="auto"/>
              <w:bottom w:val="single" w:sz="6" w:space="0" w:color="auto"/>
              <w:right w:val="single" w:sz="6" w:space="0" w:color="auto"/>
            </w:tcBorders>
          </w:tcPr>
          <w:p w:rsidR="00F45603" w:rsidRDefault="00F45603" w:rsidP="00E558D1">
            <w: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0,6</w:t>
            </w:r>
          </w:p>
        </w:tc>
        <w:tc>
          <w:tcPr>
            <w:tcW w:w="980"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0,6</w:t>
            </w:r>
          </w:p>
        </w:tc>
      </w:tr>
      <w:tr w:rsidR="00F45603" w:rsidTr="00E558D1">
        <w:tc>
          <w:tcPr>
            <w:tcW w:w="496" w:type="dxa"/>
            <w:tcBorders>
              <w:top w:val="single" w:sz="6" w:space="0" w:color="auto"/>
              <w:left w:val="single" w:sz="6" w:space="0" w:color="auto"/>
              <w:bottom w:val="single" w:sz="6" w:space="0" w:color="auto"/>
              <w:right w:val="single" w:sz="6" w:space="0" w:color="auto"/>
            </w:tcBorders>
          </w:tcPr>
          <w:p w:rsidR="00F45603" w:rsidRDefault="00F45603" w:rsidP="00E558D1">
            <w:pPr>
              <w:jc w:val="center"/>
            </w:pPr>
            <w:r>
              <w:t>7</w:t>
            </w:r>
          </w:p>
        </w:tc>
        <w:tc>
          <w:tcPr>
            <w:tcW w:w="4979" w:type="dxa"/>
            <w:gridSpan w:val="2"/>
            <w:tcBorders>
              <w:top w:val="single" w:sz="6" w:space="0" w:color="auto"/>
              <w:left w:val="single" w:sz="6" w:space="0" w:color="auto"/>
              <w:bottom w:val="single" w:sz="6" w:space="0" w:color="auto"/>
              <w:right w:val="single" w:sz="6" w:space="0" w:color="auto"/>
            </w:tcBorders>
          </w:tcPr>
          <w:p w:rsidR="00F45603" w:rsidRDefault="00F45603" w:rsidP="00E558D1">
            <w:r>
              <w:t>Łączna zawartość dodatków specjalnych (przyśpieszających twardnienie, plastyfikujących, hydrofobizujących)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pPr>
          </w:p>
          <w:p w:rsidR="00F45603" w:rsidRDefault="00F45603" w:rsidP="00E558D1">
            <w:pPr>
              <w:spacing w:before="60"/>
              <w:jc w:val="center"/>
            </w:pPr>
            <w:r>
              <w:t>5,0</w:t>
            </w:r>
          </w:p>
        </w:tc>
        <w:tc>
          <w:tcPr>
            <w:tcW w:w="980" w:type="dxa"/>
            <w:tcBorders>
              <w:top w:val="single" w:sz="6" w:space="0" w:color="auto"/>
              <w:left w:val="single" w:sz="6" w:space="0" w:color="auto"/>
              <w:bottom w:val="single" w:sz="6" w:space="0" w:color="auto"/>
              <w:right w:val="single" w:sz="6" w:space="0" w:color="auto"/>
            </w:tcBorders>
          </w:tcPr>
          <w:p w:rsidR="00F45603" w:rsidRDefault="00F45603" w:rsidP="00E558D1">
            <w:pPr>
              <w:spacing w:before="60"/>
            </w:pPr>
          </w:p>
          <w:p w:rsidR="00F45603" w:rsidRDefault="00F45603" w:rsidP="00E558D1">
            <w:pPr>
              <w:spacing w:before="60"/>
              <w:jc w:val="center"/>
            </w:pPr>
            <w:r>
              <w:t>5,0</w:t>
            </w:r>
          </w:p>
        </w:tc>
      </w:tr>
    </w:tbl>
    <w:p w:rsidR="00F45603" w:rsidRDefault="00F45603" w:rsidP="00F45603"/>
    <w:p w:rsidR="00F45603" w:rsidRDefault="00F45603" w:rsidP="00F45603">
      <w:pPr>
        <w:ind w:firstLine="709"/>
      </w:pPr>
      <w:r>
        <w:t>Cement powinien pochodzić z jednego źródła dla danego obiektu. Pochodzenie cementu i jego jakość określona atestem - musi być zatwierdzona przez Inżyniera.</w:t>
      </w:r>
    </w:p>
    <w:p w:rsidR="00F45603" w:rsidRDefault="00F45603" w:rsidP="00F45603">
      <w:pPr>
        <w:spacing w:before="120"/>
      </w:pPr>
      <w:r>
        <w:rPr>
          <w:b/>
        </w:rPr>
        <w:t xml:space="preserve">2.3.5.2. </w:t>
      </w:r>
      <w:r>
        <w:t>Przechowywanie cementu</w:t>
      </w:r>
    </w:p>
    <w:p w:rsidR="00F45603" w:rsidRDefault="00F45603" w:rsidP="00F45603">
      <w:pPr>
        <w:spacing w:before="120"/>
      </w:pPr>
      <w:r>
        <w:tab/>
        <w:t>Warunki przechowywania cementu powinny odpowiadać wymaganiom normy BN-88/6731-08 [36].</w:t>
      </w:r>
    </w:p>
    <w:p w:rsidR="00F45603" w:rsidRDefault="00F45603" w:rsidP="00F45603">
      <w:r>
        <w:tab/>
        <w:t>Miejsca przechowywania cementu mogą być następujące:</w:t>
      </w:r>
    </w:p>
    <w:p w:rsidR="00F45603" w:rsidRDefault="00F45603" w:rsidP="00F45603">
      <w:pPr>
        <w:rPr>
          <w:b/>
        </w:rPr>
      </w:pPr>
      <w:r>
        <w:t>a)  dla cementu workowanego</w:t>
      </w:r>
    </w:p>
    <w:p w:rsidR="00F45603" w:rsidRDefault="00F45603" w:rsidP="00F45603">
      <w:pPr>
        <w:numPr>
          <w:ilvl w:val="0"/>
          <w:numId w:val="5"/>
        </w:numPr>
        <w:overflowPunct w:val="0"/>
        <w:autoSpaceDE w:val="0"/>
        <w:autoSpaceDN w:val="0"/>
        <w:adjustRightInd w:val="0"/>
        <w:spacing w:after="0" w:line="240" w:lineRule="auto"/>
        <w:ind w:left="988"/>
        <w:jc w:val="both"/>
        <w:textAlignment w:val="baseline"/>
      </w:pPr>
      <w:r>
        <w:t>składy otwarte (wydzielone miejsca zadaszone na otwartym terenie, zabezpieczone z boków przed opadami),</w:t>
      </w:r>
    </w:p>
    <w:p w:rsidR="00F45603" w:rsidRDefault="00F45603" w:rsidP="00F45603">
      <w:pPr>
        <w:numPr>
          <w:ilvl w:val="0"/>
          <w:numId w:val="5"/>
        </w:numPr>
        <w:overflowPunct w:val="0"/>
        <w:autoSpaceDE w:val="0"/>
        <w:autoSpaceDN w:val="0"/>
        <w:adjustRightInd w:val="0"/>
        <w:spacing w:after="0" w:line="240" w:lineRule="auto"/>
        <w:ind w:left="992"/>
        <w:jc w:val="both"/>
        <w:textAlignment w:val="baseline"/>
      </w:pPr>
      <w:r>
        <w:t>magazyny zamknięte (budynki lub pomieszczenia o szczelnym dachu i ścianach),</w:t>
      </w:r>
    </w:p>
    <w:p w:rsidR="00F45603" w:rsidRDefault="00F45603" w:rsidP="00F45603">
      <w:pPr>
        <w:ind w:left="284" w:hanging="284"/>
        <w:rPr>
          <w:b/>
        </w:rPr>
      </w:pPr>
      <w:r>
        <w:t>b) dla cementu luzem - zbiorniki stalowe, żelbetowe lub betonowe. W każdym ze zbiorników należy przechowywać cement jednego rodzaju i klasy, pochodzący od jednego dostawcy.</w:t>
      </w:r>
    </w:p>
    <w:p w:rsidR="00F45603" w:rsidRDefault="00F45603" w:rsidP="00F45603">
      <w:pPr>
        <w:spacing w:before="120" w:after="120"/>
      </w:pPr>
      <w:r>
        <w:rPr>
          <w:b/>
        </w:rPr>
        <w:t xml:space="preserve">2.3.6. </w:t>
      </w:r>
      <w:r>
        <w:t>Stal zbrojeniowa</w:t>
      </w:r>
    </w:p>
    <w:p w:rsidR="00F45603" w:rsidRDefault="00F45603" w:rsidP="00F45603">
      <w:r>
        <w:tab/>
        <w:t>Stal stosowana do zbrojenia betonowych elementów konstrukcji przepustów musi odpowiadać wymaganiom PN-H-93215 [29].</w:t>
      </w:r>
    </w:p>
    <w:p w:rsidR="00F45603" w:rsidRDefault="00F45603" w:rsidP="00F45603">
      <w:r>
        <w:lastRenderedPageBreak/>
        <w:tab/>
        <w:t>Klasa, gatunek i średnica musi być zgodna z dokumentacją projektową lub SST.</w:t>
      </w:r>
    </w:p>
    <w:p w:rsidR="00F45603" w:rsidRDefault="00F45603" w:rsidP="00F45603">
      <w:r>
        <w:tab/>
        <w:t>Nie dopuszcza się zamiennego użycia innych stali i innych średnic bez zgody Inżyniera.</w:t>
      </w:r>
    </w:p>
    <w:p w:rsidR="00F45603" w:rsidRDefault="00F45603" w:rsidP="00F45603">
      <w:r>
        <w:tab/>
        <w:t>Stal zbrojeniowa powinna być składowana w sposób izolowany od podłoża gruntowego, zabezpieczona od wilgoci, chroniona przed odkształceniem i zanieczyszczeniem.</w:t>
      </w:r>
    </w:p>
    <w:p w:rsidR="00F45603" w:rsidRDefault="00F45603" w:rsidP="00F45603">
      <w:pPr>
        <w:spacing w:before="120" w:after="120"/>
      </w:pPr>
      <w:r>
        <w:rPr>
          <w:b/>
        </w:rPr>
        <w:t xml:space="preserve">2.3.7. </w:t>
      </w:r>
      <w:r>
        <w:t>Woda</w:t>
      </w:r>
    </w:p>
    <w:p w:rsidR="00F45603" w:rsidRDefault="00F45603" w:rsidP="00F45603">
      <w:pPr>
        <w:ind w:firstLine="708"/>
      </w:pPr>
      <w:r>
        <w:t>Woda do betonu powinna odpowiadać wymaganiom PN-B-32250 [24].</w:t>
      </w:r>
    </w:p>
    <w:p w:rsidR="00F45603" w:rsidRDefault="00F45603" w:rsidP="00F45603">
      <w:pPr>
        <w:ind w:firstLine="708"/>
      </w:pPr>
      <w:r>
        <w:t>Bez badań laboratoryjnych można stosować wodociągową wodę pitną.</w:t>
      </w:r>
    </w:p>
    <w:p w:rsidR="00F45603" w:rsidRDefault="00F45603" w:rsidP="00F45603">
      <w:r>
        <w:tab/>
        <w:t>Woda pochodząca z wątpliwych źródeł nie może być użyta do momentu jej przebadania na zgodność z podaną normą.</w:t>
      </w:r>
    </w:p>
    <w:p w:rsidR="00F45603" w:rsidRDefault="00F45603" w:rsidP="00F45603">
      <w:pPr>
        <w:spacing w:before="120" w:after="120"/>
      </w:pPr>
      <w:r>
        <w:rPr>
          <w:b/>
        </w:rPr>
        <w:t xml:space="preserve">2.3.8. </w:t>
      </w:r>
      <w:r>
        <w:t>Domieszki chemiczne</w:t>
      </w:r>
    </w:p>
    <w:p w:rsidR="00F45603" w:rsidRDefault="00F45603" w:rsidP="00F45603">
      <w:r>
        <w:tab/>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F45603" w:rsidRDefault="00F45603" w:rsidP="00F45603">
      <w:pPr>
        <w:pStyle w:val="Nagwek2"/>
      </w:pPr>
      <w:r>
        <w:t>2.4. Materiały izolacyjne</w:t>
      </w:r>
    </w:p>
    <w:p w:rsidR="00F45603" w:rsidRDefault="00F45603" w:rsidP="00F45603">
      <w:r>
        <w:tab/>
        <w:t>Do izolowania drogowych przepustów betonowych i ścianek czołowych należy stosować materiały wskazane w dokumentacji projektowej lub SST posiadające aprobatę techniczną oraz atest producenta:</w:t>
      </w:r>
    </w:p>
    <w:p w:rsidR="00F45603" w:rsidRDefault="00F45603" w:rsidP="00B4292E">
      <w:pPr>
        <w:numPr>
          <w:ilvl w:val="0"/>
          <w:numId w:val="34"/>
        </w:numPr>
        <w:overflowPunct w:val="0"/>
        <w:autoSpaceDE w:val="0"/>
        <w:autoSpaceDN w:val="0"/>
        <w:adjustRightInd w:val="0"/>
        <w:spacing w:after="0" w:line="240" w:lineRule="auto"/>
        <w:ind w:left="284" w:hanging="284"/>
        <w:jc w:val="both"/>
        <w:textAlignment w:val="baseline"/>
      </w:pPr>
      <w:r>
        <w:t>emulsja kationowa wg EmA-94. IBDiM [44],</w:t>
      </w:r>
    </w:p>
    <w:p w:rsidR="00F45603" w:rsidRDefault="00F45603" w:rsidP="00B4292E">
      <w:pPr>
        <w:numPr>
          <w:ilvl w:val="0"/>
          <w:numId w:val="34"/>
        </w:numPr>
        <w:overflowPunct w:val="0"/>
        <w:autoSpaceDE w:val="0"/>
        <w:autoSpaceDN w:val="0"/>
        <w:adjustRightInd w:val="0"/>
        <w:spacing w:after="0" w:line="240" w:lineRule="auto"/>
        <w:ind w:left="284" w:hanging="284"/>
        <w:jc w:val="both"/>
        <w:textAlignment w:val="baseline"/>
      </w:pPr>
      <w:r>
        <w:t>roztwór asfaltowy do gruntowania wg PN-B-24622 [23],</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lepik asfaltowy na gorąco bez wypełniaczy wg PN-C-96177 [25],</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papa asfaltowa wg BN-79/6751-01 [38] oraz wg BN-88/6751-03 [39],</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wszelkie inne i nowe materiały izolacyjne sprawdzone doświadczalnie i posiadające aprobaty techniczne - za zgodą Inżyniera.</w:t>
      </w:r>
    </w:p>
    <w:p w:rsidR="00F45603" w:rsidRDefault="00F45603" w:rsidP="00F45603">
      <w:pPr>
        <w:pStyle w:val="Nagwek2"/>
      </w:pPr>
      <w:r>
        <w:t>2.5. Elementy deskowania konstrukcji betonowych i żelbetowych</w:t>
      </w:r>
    </w:p>
    <w:p w:rsidR="00F45603" w:rsidRDefault="00F45603" w:rsidP="00F45603">
      <w:r>
        <w:tab/>
        <w:t>Deskowanie powinno odpowiadać wymaganiom określonym w PN-B-06251 [9].</w:t>
      </w:r>
    </w:p>
    <w:p w:rsidR="00F45603" w:rsidRDefault="00F45603" w:rsidP="00F45603">
      <w:r>
        <w:tab/>
        <w:t>Deskowanie należy wykonać z materiałów odpowiadających następującym normom:</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drewno iglaste tartaczne do robót ciesielskich wg PN-D-95017 [26],</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tarcica iglasta do robót ciesielskich wg PN-B-06251 [9] i PN-D-96000 [27],</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tarcica liściasta do drobnych elementów jak kliny, klocki itp. wg PN-D-96002 [28],</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gwoździe wg BN-87/5028-12 [35],</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śruby, wkręty do drewna i podkładki do śrub wg PN-M-82121 [31], PN-M-82503 [32], PN-M-82505 [33] i PN-M-82010 [30],</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płyty pilśniowe z drewna wg BN-69/7122-11 [40] lub sklejka wodoodporna odpowiadająca wymaganiom określonym przez Wykonawcę i zaakceptowanym przez Inżyniera.</w:t>
      </w:r>
    </w:p>
    <w:p w:rsidR="00F45603" w:rsidRDefault="00F45603" w:rsidP="00F45603">
      <w:r>
        <w:tab/>
        <w:t>Dopuszcza się wykonanie deskowań z innych materiałów, pod warunkiem akceptacji Inżyniera.</w:t>
      </w:r>
    </w:p>
    <w:p w:rsidR="00F45603" w:rsidRDefault="00F45603" w:rsidP="00F45603">
      <w:pPr>
        <w:pStyle w:val="Nagwek2"/>
      </w:pPr>
      <w:r>
        <w:lastRenderedPageBreak/>
        <w:t>2.6. Żelbetowe elementy prefabrykowane</w:t>
      </w:r>
    </w:p>
    <w:p w:rsidR="00F45603" w:rsidRDefault="00F45603" w:rsidP="00F45603">
      <w:r>
        <w:tab/>
        <w:t>Kształt i wymiary żelbetowych elementów prefabrykowanych do przepustów i ścianek czołowych powinny być zgodne z dokumentacją projektową. Odchyłki wymiarów prefabrykatów powinny odpowiadać PN-B-02356 [2].</w:t>
      </w:r>
    </w:p>
    <w:p w:rsidR="00F45603" w:rsidRDefault="00F45603" w:rsidP="00F45603">
      <w:r>
        <w:tab/>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t>5 mm</w:t>
        </w:r>
      </w:smartTag>
      <w:r>
        <w:t>.</w:t>
      </w:r>
    </w:p>
    <w:p w:rsidR="00F45603" w:rsidRDefault="00F45603" w:rsidP="00F45603">
      <w:r>
        <w:tab/>
        <w:t xml:space="preserve">Po wbudowaniu elementów dopuszcza się wyszczerbienia krawędzi o głębokości do </w:t>
      </w:r>
      <w:smartTag w:uri="urn:schemas-microsoft-com:office:smarttags" w:element="metricconverter">
        <w:smartTagPr>
          <w:attr w:name="productid" w:val="10 mm"/>
        </w:smartTagPr>
        <w:r>
          <w:t>10 mm</w:t>
        </w:r>
      </w:smartTag>
      <w:r>
        <w:t xml:space="preserve"> i długości do </w:t>
      </w:r>
      <w:smartTag w:uri="urn:schemas-microsoft-com:office:smarttags" w:element="metricconverter">
        <w:smartTagPr>
          <w:attr w:name="productid" w:val="50 mm"/>
        </w:smartTagPr>
        <w:r>
          <w:t>50 mm</w:t>
        </w:r>
      </w:smartTag>
      <w:r>
        <w:t xml:space="preserve"> w liczbie 2 sztuk na </w:t>
      </w:r>
      <w:smartTag w:uri="urn:schemas-microsoft-com:office:smarttags" w:element="metricconverter">
        <w:smartTagPr>
          <w:attr w:name="productid" w:val="1 m"/>
        </w:smartTagPr>
        <w:r>
          <w:t>1 m</w:t>
        </w:r>
      </w:smartTag>
      <w:r>
        <w:t xml:space="preserve"> krawędzi elementu, przy czym na jednej krawędzi nie może być więcej niż 5 wyszczerbień.</w:t>
      </w:r>
    </w:p>
    <w:p w:rsidR="00F45603" w:rsidRDefault="00F45603" w:rsidP="00F45603">
      <w:r>
        <w:tab/>
        <w:t>Składowanie elementów powinno odbywać się na wyrównanym, utwardzonym i odwodnionym podłożu. Poszczególne rodzaje elementów powinny być składowane oddzielnie.</w:t>
      </w:r>
    </w:p>
    <w:p w:rsidR="00F45603" w:rsidRDefault="00F45603" w:rsidP="00F45603">
      <w:pPr>
        <w:pStyle w:val="Nagwek2"/>
      </w:pPr>
      <w:r>
        <w:t>2.7. Materiały na ławy fundamentowe</w:t>
      </w:r>
    </w:p>
    <w:p w:rsidR="00F45603" w:rsidRDefault="00F45603" w:rsidP="00F45603">
      <w:r>
        <w:tab/>
        <w:t>Część przelotowa przepustu i skrzydełka mogą być posadowione na:</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ławie fundamentowej z pospółki spełniającej wymagania normy PN-B-06712 [12],</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ławie fundamentowej z gruntu stabilizowanego cementem, spełniającej wymagania OST D-04.05.01 „Podbudowa i ulepszone podłoża z gruntu lub kruszywa stabilizowanego cementem”,</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fundamencie z płyt prefabrykowanych z betonu zbrojonego, spełniającym wymagania materiałowe podane w niniejszej OST,</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fundamencie z płyty z betonu wylewanego spełniającym wymagania materiałowe podane w niniejszej OST.</w:t>
      </w:r>
    </w:p>
    <w:p w:rsidR="00F45603" w:rsidRDefault="00F45603" w:rsidP="00F45603">
      <w:pPr>
        <w:pStyle w:val="Nagwek2"/>
      </w:pPr>
      <w:r>
        <w:t>2.8. Kamień łamany do ścianek czołowych</w:t>
      </w:r>
    </w:p>
    <w:p w:rsidR="00F45603" w:rsidRDefault="00F45603" w:rsidP="00F45603">
      <w:r>
        <w:tab/>
        <w:t>Można stosować na ścianki czołowe kamień łamany, o cechach fizycznych odpowiadających wymaganiom PN-B-01080 [1].</w:t>
      </w:r>
    </w:p>
    <w:p w:rsidR="00F45603" w:rsidRDefault="00F45603" w:rsidP="00F45603">
      <w:r>
        <w:tab/>
        <w:t>Cechy wytrzymałościowe i fizyczne kamienia powinny odpowiadać wymaganiom podanym w tablicy 5.</w:t>
      </w:r>
    </w:p>
    <w:p w:rsidR="00F45603" w:rsidRDefault="00F45603" w:rsidP="00F45603">
      <w:pPr>
        <w:spacing w:before="120" w:after="120"/>
      </w:pPr>
      <w: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F45603" w:rsidTr="00E558D1">
        <w:tc>
          <w:tcPr>
            <w:tcW w:w="496" w:type="dxa"/>
            <w:tcBorders>
              <w:bottom w:val="double" w:sz="6" w:space="0" w:color="auto"/>
            </w:tcBorders>
          </w:tcPr>
          <w:p w:rsidR="00F45603" w:rsidRDefault="00F45603" w:rsidP="00E558D1">
            <w:pPr>
              <w:spacing w:before="120" w:after="120"/>
              <w:jc w:val="center"/>
            </w:pPr>
            <w:r>
              <w:t>Lp.</w:t>
            </w:r>
          </w:p>
        </w:tc>
        <w:tc>
          <w:tcPr>
            <w:tcW w:w="4147" w:type="dxa"/>
            <w:tcBorders>
              <w:bottom w:val="double" w:sz="6" w:space="0" w:color="auto"/>
            </w:tcBorders>
          </w:tcPr>
          <w:p w:rsidR="00F45603" w:rsidRDefault="00F45603" w:rsidP="00E558D1">
            <w:pPr>
              <w:spacing w:before="120" w:after="120"/>
              <w:jc w:val="center"/>
            </w:pPr>
            <w:r>
              <w:t>Właściwości</w:t>
            </w:r>
          </w:p>
        </w:tc>
        <w:tc>
          <w:tcPr>
            <w:tcW w:w="1239" w:type="dxa"/>
            <w:tcBorders>
              <w:bottom w:val="double" w:sz="6" w:space="0" w:color="auto"/>
            </w:tcBorders>
          </w:tcPr>
          <w:p w:rsidR="00F45603" w:rsidRDefault="00F45603" w:rsidP="00E558D1">
            <w:pPr>
              <w:spacing w:before="120" w:after="120"/>
              <w:jc w:val="center"/>
            </w:pPr>
            <w:r>
              <w:t>Wymagania</w:t>
            </w:r>
          </w:p>
        </w:tc>
        <w:tc>
          <w:tcPr>
            <w:tcW w:w="1559" w:type="dxa"/>
            <w:tcBorders>
              <w:bottom w:val="double" w:sz="6" w:space="0" w:color="auto"/>
            </w:tcBorders>
          </w:tcPr>
          <w:p w:rsidR="00F45603" w:rsidRDefault="00F45603" w:rsidP="00E558D1">
            <w:pPr>
              <w:spacing w:before="60"/>
              <w:jc w:val="center"/>
            </w:pPr>
            <w:r>
              <w:t>Metoda badań wg</w:t>
            </w:r>
          </w:p>
        </w:tc>
      </w:tr>
      <w:tr w:rsidR="00F45603" w:rsidTr="00E558D1">
        <w:tc>
          <w:tcPr>
            <w:tcW w:w="496" w:type="dxa"/>
            <w:tcBorders>
              <w:top w:val="nil"/>
            </w:tcBorders>
          </w:tcPr>
          <w:p w:rsidR="00F45603" w:rsidRDefault="00F45603" w:rsidP="00E558D1">
            <w:pPr>
              <w:jc w:val="center"/>
            </w:pPr>
            <w:r>
              <w:t>1</w:t>
            </w:r>
          </w:p>
        </w:tc>
        <w:tc>
          <w:tcPr>
            <w:tcW w:w="4147" w:type="dxa"/>
            <w:tcBorders>
              <w:top w:val="nil"/>
            </w:tcBorders>
          </w:tcPr>
          <w:p w:rsidR="00F45603" w:rsidRDefault="00F45603" w:rsidP="00E558D1">
            <w:r>
              <w:t>Wytrzymałość na ściskanie, MPa, co najmniej,             w stanie:</w:t>
            </w:r>
          </w:p>
          <w:p w:rsidR="00F45603" w:rsidRDefault="00F45603" w:rsidP="00E558D1">
            <w:r>
              <w:t>- powietrznosuchym</w:t>
            </w:r>
          </w:p>
          <w:p w:rsidR="00F45603" w:rsidRDefault="00F45603" w:rsidP="00E558D1">
            <w:r>
              <w:t>- nasycenia wodą</w:t>
            </w:r>
          </w:p>
          <w:p w:rsidR="00F45603" w:rsidRDefault="00F45603" w:rsidP="00E558D1">
            <w:r>
              <w:t>- po badaniu mrozoodporności</w:t>
            </w:r>
          </w:p>
        </w:tc>
        <w:tc>
          <w:tcPr>
            <w:tcW w:w="1239" w:type="dxa"/>
            <w:tcBorders>
              <w:top w:val="nil"/>
            </w:tcBorders>
          </w:tcPr>
          <w:p w:rsidR="00F45603" w:rsidRDefault="00F45603" w:rsidP="00E558D1"/>
          <w:p w:rsidR="00F45603" w:rsidRDefault="00F45603" w:rsidP="00E558D1"/>
          <w:p w:rsidR="00F45603" w:rsidRDefault="00F45603" w:rsidP="00E558D1">
            <w:pPr>
              <w:jc w:val="center"/>
            </w:pPr>
            <w:r>
              <w:t>61</w:t>
            </w:r>
          </w:p>
          <w:p w:rsidR="00F45603" w:rsidRDefault="00F45603" w:rsidP="00E558D1">
            <w:pPr>
              <w:jc w:val="center"/>
            </w:pPr>
            <w:r>
              <w:t>51</w:t>
            </w:r>
          </w:p>
          <w:p w:rsidR="00F45603" w:rsidRDefault="00F45603" w:rsidP="00E558D1">
            <w:pPr>
              <w:jc w:val="center"/>
            </w:pPr>
            <w:r>
              <w:t>46</w:t>
            </w:r>
          </w:p>
        </w:tc>
        <w:tc>
          <w:tcPr>
            <w:tcW w:w="1559" w:type="dxa"/>
            <w:tcBorders>
              <w:top w:val="nil"/>
            </w:tcBorders>
          </w:tcPr>
          <w:p w:rsidR="00F45603" w:rsidRDefault="00F45603" w:rsidP="00E558D1">
            <w:pPr>
              <w:jc w:val="center"/>
            </w:pPr>
          </w:p>
          <w:p w:rsidR="00F45603" w:rsidRDefault="00F45603" w:rsidP="00E558D1">
            <w:pPr>
              <w:jc w:val="center"/>
            </w:pPr>
          </w:p>
          <w:p w:rsidR="00F45603" w:rsidRDefault="00F45603" w:rsidP="00E558D1">
            <w:pPr>
              <w:jc w:val="center"/>
            </w:pPr>
            <w:r>
              <w:t>PN-B-04110 [5]</w:t>
            </w:r>
          </w:p>
        </w:tc>
      </w:tr>
      <w:tr w:rsidR="00F45603" w:rsidTr="00E558D1">
        <w:tc>
          <w:tcPr>
            <w:tcW w:w="496" w:type="dxa"/>
          </w:tcPr>
          <w:p w:rsidR="00F45603" w:rsidRDefault="00F45603" w:rsidP="00E558D1">
            <w:pPr>
              <w:jc w:val="center"/>
            </w:pPr>
            <w:r>
              <w:t>2</w:t>
            </w:r>
          </w:p>
        </w:tc>
        <w:tc>
          <w:tcPr>
            <w:tcW w:w="4147" w:type="dxa"/>
          </w:tcPr>
          <w:p w:rsidR="00F45603" w:rsidRDefault="00F45603" w:rsidP="00E558D1">
            <w:r>
              <w:t>Mrozoodporność. Liczba cykli zamrażania, po których występują uszkodzenia powierzchni, krawędzi lub naroży, co najmniej:</w:t>
            </w:r>
          </w:p>
        </w:tc>
        <w:tc>
          <w:tcPr>
            <w:tcW w:w="1239" w:type="dxa"/>
          </w:tcPr>
          <w:p w:rsidR="00F45603" w:rsidRDefault="00F45603" w:rsidP="00E558D1">
            <w:pPr>
              <w:jc w:val="center"/>
            </w:pPr>
          </w:p>
          <w:p w:rsidR="00F45603" w:rsidRDefault="00F45603" w:rsidP="00E558D1">
            <w:pPr>
              <w:jc w:val="center"/>
            </w:pPr>
            <w:r>
              <w:t>21</w:t>
            </w:r>
          </w:p>
        </w:tc>
        <w:tc>
          <w:tcPr>
            <w:tcW w:w="1559" w:type="dxa"/>
          </w:tcPr>
          <w:p w:rsidR="00F45603" w:rsidRDefault="00F45603" w:rsidP="00E558D1">
            <w:pPr>
              <w:jc w:val="center"/>
            </w:pPr>
          </w:p>
          <w:p w:rsidR="00F45603" w:rsidRDefault="00F45603" w:rsidP="00E558D1">
            <w:pPr>
              <w:jc w:val="center"/>
            </w:pPr>
            <w:r>
              <w:t>PN-B-04102 [4]</w:t>
            </w:r>
          </w:p>
        </w:tc>
      </w:tr>
      <w:tr w:rsidR="00F45603" w:rsidTr="00E558D1">
        <w:tc>
          <w:tcPr>
            <w:tcW w:w="496" w:type="dxa"/>
          </w:tcPr>
          <w:p w:rsidR="00F45603" w:rsidRDefault="00F45603" w:rsidP="00E558D1">
            <w:pPr>
              <w:jc w:val="center"/>
            </w:pPr>
            <w:r>
              <w:lastRenderedPageBreak/>
              <w:t>3</w:t>
            </w:r>
          </w:p>
        </w:tc>
        <w:tc>
          <w:tcPr>
            <w:tcW w:w="4147" w:type="dxa"/>
          </w:tcPr>
          <w:p w:rsidR="00F45603" w:rsidRDefault="00F45603" w:rsidP="00E558D1">
            <w:r>
              <w:t>Odporność na niszczące działanie atmosfery przemysłowej. Kamień nie powinien ulegać niszczeniu w środowisku agresywnym, w którym zawartość SO</w:t>
            </w:r>
            <w:r>
              <w:rPr>
                <w:vertAlign w:val="subscript"/>
              </w:rPr>
              <w:t>2</w:t>
            </w:r>
            <w:r>
              <w:t xml:space="preserve"> w mg/m</w:t>
            </w:r>
            <w:r>
              <w:rPr>
                <w:vertAlign w:val="superscript"/>
              </w:rPr>
              <w:t>3</w:t>
            </w:r>
            <w:r>
              <w:t xml:space="preserve"> wynosi:</w:t>
            </w:r>
          </w:p>
        </w:tc>
        <w:tc>
          <w:tcPr>
            <w:tcW w:w="1239" w:type="dxa"/>
          </w:tcPr>
          <w:p w:rsidR="00F45603" w:rsidRDefault="00F45603" w:rsidP="00E558D1">
            <w:pPr>
              <w:jc w:val="center"/>
            </w:pPr>
          </w:p>
          <w:p w:rsidR="00F45603" w:rsidRDefault="00F45603" w:rsidP="00E558D1">
            <w:pPr>
              <w:spacing w:before="120"/>
              <w:jc w:val="center"/>
            </w:pPr>
            <w:r>
              <w:t>od 0,5 do 10</w:t>
            </w:r>
          </w:p>
          <w:p w:rsidR="00F45603" w:rsidRDefault="00F45603" w:rsidP="00E558D1">
            <w:pPr>
              <w:jc w:val="center"/>
            </w:pPr>
          </w:p>
        </w:tc>
        <w:tc>
          <w:tcPr>
            <w:tcW w:w="1559" w:type="dxa"/>
          </w:tcPr>
          <w:p w:rsidR="00F45603" w:rsidRDefault="00F45603" w:rsidP="00E558D1"/>
          <w:p w:rsidR="00F45603" w:rsidRDefault="00F45603" w:rsidP="00E558D1">
            <w:pPr>
              <w:spacing w:before="120"/>
            </w:pPr>
            <w:r>
              <w:t>PN-B-01080 [1]</w:t>
            </w:r>
          </w:p>
        </w:tc>
      </w:tr>
      <w:tr w:rsidR="00F45603" w:rsidTr="00E558D1">
        <w:tc>
          <w:tcPr>
            <w:tcW w:w="496" w:type="dxa"/>
          </w:tcPr>
          <w:p w:rsidR="00F45603" w:rsidRDefault="00F45603" w:rsidP="00E558D1">
            <w:pPr>
              <w:jc w:val="center"/>
            </w:pPr>
            <w:r>
              <w:t>4</w:t>
            </w:r>
          </w:p>
        </w:tc>
        <w:tc>
          <w:tcPr>
            <w:tcW w:w="4147" w:type="dxa"/>
          </w:tcPr>
          <w:p w:rsidR="00F45603" w:rsidRDefault="00F45603" w:rsidP="00E558D1">
            <w:r>
              <w:t>Ścieralność na tarczy Boehmego, mm, nie więcej niż, w stanie:</w:t>
            </w:r>
          </w:p>
          <w:p w:rsidR="00F45603" w:rsidRDefault="00F45603" w:rsidP="00E558D1">
            <w:r>
              <w:t>- powietrznosuchym</w:t>
            </w:r>
          </w:p>
          <w:p w:rsidR="00F45603" w:rsidRDefault="00F45603" w:rsidP="00E558D1">
            <w:r>
              <w:t>- nasycenia wodą</w:t>
            </w:r>
          </w:p>
        </w:tc>
        <w:tc>
          <w:tcPr>
            <w:tcW w:w="1239" w:type="dxa"/>
          </w:tcPr>
          <w:p w:rsidR="00F45603" w:rsidRDefault="00F45603" w:rsidP="00E558D1">
            <w:pPr>
              <w:jc w:val="center"/>
            </w:pPr>
          </w:p>
          <w:p w:rsidR="00F45603" w:rsidRDefault="00F45603" w:rsidP="00E558D1">
            <w:pPr>
              <w:jc w:val="center"/>
            </w:pPr>
          </w:p>
          <w:p w:rsidR="00F45603" w:rsidRDefault="00F45603" w:rsidP="00E558D1">
            <w:pPr>
              <w:jc w:val="center"/>
            </w:pPr>
            <w:r>
              <w:t>2,5</w:t>
            </w:r>
          </w:p>
          <w:p w:rsidR="00F45603" w:rsidRDefault="00F45603" w:rsidP="00E558D1">
            <w:pPr>
              <w:jc w:val="center"/>
            </w:pPr>
            <w:r>
              <w:t>5</w:t>
            </w:r>
          </w:p>
        </w:tc>
        <w:tc>
          <w:tcPr>
            <w:tcW w:w="1559" w:type="dxa"/>
          </w:tcPr>
          <w:p w:rsidR="00F45603" w:rsidRDefault="00F45603" w:rsidP="00E558D1">
            <w:pPr>
              <w:jc w:val="center"/>
            </w:pPr>
          </w:p>
          <w:p w:rsidR="00F45603" w:rsidRDefault="00F45603" w:rsidP="00E558D1">
            <w:pPr>
              <w:spacing w:before="120"/>
              <w:jc w:val="center"/>
            </w:pPr>
            <w:r>
              <w:t>PN-B-04111 [6]</w:t>
            </w:r>
          </w:p>
        </w:tc>
      </w:tr>
      <w:tr w:rsidR="00F45603" w:rsidTr="00E558D1">
        <w:tc>
          <w:tcPr>
            <w:tcW w:w="496" w:type="dxa"/>
          </w:tcPr>
          <w:p w:rsidR="00F45603" w:rsidRDefault="00F45603" w:rsidP="00E558D1">
            <w:pPr>
              <w:spacing w:before="60" w:after="60"/>
              <w:jc w:val="center"/>
            </w:pPr>
            <w:r>
              <w:t>5</w:t>
            </w:r>
          </w:p>
        </w:tc>
        <w:tc>
          <w:tcPr>
            <w:tcW w:w="4147" w:type="dxa"/>
          </w:tcPr>
          <w:p w:rsidR="00F45603" w:rsidRDefault="00F45603" w:rsidP="00E558D1">
            <w:pPr>
              <w:spacing w:before="60" w:after="60"/>
            </w:pPr>
            <w:r>
              <w:t>Nasiąkliwość wodą, %, nie więcej niż:</w:t>
            </w:r>
          </w:p>
        </w:tc>
        <w:tc>
          <w:tcPr>
            <w:tcW w:w="1239" w:type="dxa"/>
          </w:tcPr>
          <w:p w:rsidR="00F45603" w:rsidRDefault="00F45603" w:rsidP="00E558D1">
            <w:pPr>
              <w:spacing w:before="60" w:after="60"/>
              <w:jc w:val="center"/>
            </w:pPr>
            <w:r>
              <w:t>5</w:t>
            </w:r>
          </w:p>
        </w:tc>
        <w:tc>
          <w:tcPr>
            <w:tcW w:w="1559" w:type="dxa"/>
          </w:tcPr>
          <w:p w:rsidR="00F45603" w:rsidRDefault="00F45603" w:rsidP="00E558D1">
            <w:pPr>
              <w:spacing w:before="60" w:after="60"/>
              <w:jc w:val="center"/>
            </w:pPr>
            <w:r>
              <w:t>PN-B-04101 [3]</w:t>
            </w:r>
          </w:p>
        </w:tc>
      </w:tr>
    </w:tbl>
    <w:p w:rsidR="00F45603" w:rsidRDefault="00F45603" w:rsidP="00F45603"/>
    <w:p w:rsidR="00F45603" w:rsidRDefault="00F45603" w:rsidP="00F45603">
      <w:r>
        <w:tab/>
        <w:t>Dopuszcza się następujące wady powierzchni licowej kamienia:</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 xml:space="preserve">wgłębienia do </w:t>
      </w:r>
      <w:smartTag w:uri="urn:schemas-microsoft-com:office:smarttags" w:element="metricconverter">
        <w:smartTagPr>
          <w:attr w:name="productid" w:val="20 mm"/>
        </w:smartTagPr>
        <w:r>
          <w:t>20 mm</w:t>
        </w:r>
      </w:smartTag>
      <w:r>
        <w:t>, o rozmiarach nie przekraczających 20 % powierzchni,</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 xml:space="preserve">szczerby oraz uszkodzenia krawędzi i naroży o głębokości do </w:t>
      </w:r>
      <w:smartTag w:uri="urn:schemas-microsoft-com:office:smarttags" w:element="metricconverter">
        <w:smartTagPr>
          <w:attr w:name="productid" w:val="10 mm"/>
        </w:smartTagPr>
        <w:r>
          <w:t>10 mm</w:t>
        </w:r>
      </w:smartTag>
      <w:r>
        <w:t>, przy łącznej długości uszkodzeń nie więcej niż 10 % długości każdej krawędzi.</w:t>
      </w:r>
    </w:p>
    <w:p w:rsidR="00F45603" w:rsidRDefault="00F45603" w:rsidP="00F45603">
      <w:r>
        <w:tab/>
        <w:t>Kamień łamany należy przechowywać w warunkach zabezpieczających przed zanieczyszczeniem i zmieszaniem poszczególnych jego rodzajów.</w:t>
      </w:r>
    </w:p>
    <w:p w:rsidR="00F45603" w:rsidRDefault="00F45603" w:rsidP="00F45603">
      <w:pPr>
        <w:pStyle w:val="Nagwek2"/>
      </w:pPr>
      <w:r>
        <w:t>2.9. Zaprawa cementowa</w:t>
      </w:r>
    </w:p>
    <w:p w:rsidR="00F45603" w:rsidRDefault="00F45603" w:rsidP="00F45603">
      <w:r>
        <w:rPr>
          <w:b/>
        </w:rPr>
        <w:tab/>
      </w:r>
      <w:r>
        <w:t>Do kamiennej ścianki czołowej należy stosować zaprawy cementowe wg PN-B-14501 [20] marki nie niższej niż M 12.</w:t>
      </w:r>
    </w:p>
    <w:p w:rsidR="00F45603" w:rsidRDefault="00F45603" w:rsidP="00F45603">
      <w:r>
        <w:tab/>
        <w:t>Do zapraw należy stosować cement portlandzki lub hutniczy wg PN-B-19701 [21], piasek wg PN-B-06711 [7] i wodę wg PN-B-32250 [24].</w:t>
      </w:r>
    </w:p>
    <w:p w:rsidR="00F45603" w:rsidRDefault="00F45603" w:rsidP="00F45603">
      <w:pPr>
        <w:pStyle w:val="Nagwek1"/>
      </w:pPr>
      <w:bookmarkStart w:id="172" w:name="_Toc424359828"/>
      <w:r>
        <w:t>3. SPRZĘT</w:t>
      </w:r>
      <w:bookmarkEnd w:id="172"/>
    </w:p>
    <w:p w:rsidR="00F45603" w:rsidRDefault="00F45603" w:rsidP="00F45603">
      <w:pPr>
        <w:pStyle w:val="Nagwek2"/>
      </w:pPr>
      <w:r>
        <w:t>3.1. Ogólne wymagania dotyczące sprzętu</w:t>
      </w:r>
    </w:p>
    <w:p w:rsidR="00F45603" w:rsidRDefault="00F45603" w:rsidP="00F45603">
      <w:r>
        <w:tab/>
        <w:t>Ogólne wymagania dotyczące sprzętu podano w OST D-M-00.00.00 „Wymagania ogólne” pkt 3.</w:t>
      </w:r>
    </w:p>
    <w:p w:rsidR="00F45603" w:rsidRDefault="00F45603" w:rsidP="00F45603">
      <w:pPr>
        <w:pStyle w:val="Nagwek2"/>
      </w:pPr>
      <w:r>
        <w:t>3.2. Sprzęt do wykonywania przepustów</w:t>
      </w:r>
    </w:p>
    <w:p w:rsidR="00F45603" w:rsidRDefault="00F45603" w:rsidP="00F45603">
      <w:r>
        <w:rPr>
          <w:b/>
        </w:rPr>
        <w:tab/>
      </w:r>
      <w:r>
        <w:t>Wykonawca przystępujący do wykonania przepustu i ścianki czołowej powinien wykazać się możliwością korzystania z następującego sprzętu:</w:t>
      </w:r>
    </w:p>
    <w:p w:rsidR="00F45603" w:rsidRDefault="00F45603" w:rsidP="00B4292E">
      <w:pPr>
        <w:numPr>
          <w:ilvl w:val="0"/>
          <w:numId w:val="34"/>
        </w:numPr>
        <w:overflowPunct w:val="0"/>
        <w:autoSpaceDE w:val="0"/>
        <w:autoSpaceDN w:val="0"/>
        <w:adjustRightInd w:val="0"/>
        <w:spacing w:after="0" w:line="240" w:lineRule="auto"/>
        <w:ind w:left="284" w:hanging="284"/>
        <w:jc w:val="both"/>
        <w:textAlignment w:val="baseline"/>
      </w:pPr>
      <w:r>
        <w:t>koparki do wykonywania wykopów głębokich,</w:t>
      </w:r>
    </w:p>
    <w:p w:rsidR="00F45603" w:rsidRDefault="00F45603" w:rsidP="00B4292E">
      <w:pPr>
        <w:numPr>
          <w:ilvl w:val="0"/>
          <w:numId w:val="34"/>
        </w:numPr>
        <w:overflowPunct w:val="0"/>
        <w:autoSpaceDE w:val="0"/>
        <w:autoSpaceDN w:val="0"/>
        <w:adjustRightInd w:val="0"/>
        <w:spacing w:after="0" w:line="240" w:lineRule="auto"/>
        <w:ind w:left="284" w:hanging="284"/>
        <w:jc w:val="both"/>
        <w:textAlignment w:val="baseline"/>
      </w:pPr>
      <w:r>
        <w:t>sprzętu do ręcznego wykonywania płytkich wykopów szerokoprzestrzennych,</w:t>
      </w:r>
    </w:p>
    <w:p w:rsidR="00F45603" w:rsidRDefault="00F45603" w:rsidP="00B4292E">
      <w:pPr>
        <w:numPr>
          <w:ilvl w:val="0"/>
          <w:numId w:val="34"/>
        </w:numPr>
        <w:overflowPunct w:val="0"/>
        <w:autoSpaceDE w:val="0"/>
        <w:autoSpaceDN w:val="0"/>
        <w:adjustRightInd w:val="0"/>
        <w:spacing w:after="0" w:line="240" w:lineRule="auto"/>
        <w:ind w:left="284" w:hanging="284"/>
        <w:jc w:val="both"/>
        <w:textAlignment w:val="baseline"/>
      </w:pPr>
      <w:r>
        <w:t>żurawi samochodowych,</w:t>
      </w:r>
    </w:p>
    <w:p w:rsidR="00F45603" w:rsidRDefault="00F45603" w:rsidP="00B4292E">
      <w:pPr>
        <w:numPr>
          <w:ilvl w:val="0"/>
          <w:numId w:val="34"/>
        </w:numPr>
        <w:overflowPunct w:val="0"/>
        <w:autoSpaceDE w:val="0"/>
        <w:autoSpaceDN w:val="0"/>
        <w:adjustRightInd w:val="0"/>
        <w:spacing w:after="0" w:line="240" w:lineRule="auto"/>
        <w:ind w:left="284" w:hanging="284"/>
        <w:jc w:val="both"/>
        <w:textAlignment w:val="baseline"/>
      </w:pPr>
      <w:r>
        <w:t>betoniarek,</w:t>
      </w:r>
    </w:p>
    <w:p w:rsidR="00F45603" w:rsidRDefault="00F45603" w:rsidP="00B4292E">
      <w:pPr>
        <w:numPr>
          <w:ilvl w:val="0"/>
          <w:numId w:val="34"/>
        </w:numPr>
        <w:overflowPunct w:val="0"/>
        <w:autoSpaceDE w:val="0"/>
        <w:autoSpaceDN w:val="0"/>
        <w:adjustRightInd w:val="0"/>
        <w:spacing w:after="0" w:line="240" w:lineRule="auto"/>
        <w:ind w:left="284" w:hanging="284"/>
        <w:jc w:val="both"/>
        <w:textAlignment w:val="baseline"/>
      </w:pPr>
      <w:r>
        <w:t>innego sprzętu do transportu pomocniczego.</w:t>
      </w:r>
    </w:p>
    <w:p w:rsidR="00F45603" w:rsidRDefault="00F45603" w:rsidP="00F45603">
      <w:pPr>
        <w:pStyle w:val="Nagwek1"/>
      </w:pPr>
      <w:bookmarkStart w:id="173" w:name="_Toc424359829"/>
      <w:r>
        <w:t>4. TRANSPORT</w:t>
      </w:r>
      <w:bookmarkEnd w:id="173"/>
    </w:p>
    <w:p w:rsidR="00F45603" w:rsidRDefault="00F45603" w:rsidP="00F45603">
      <w:pPr>
        <w:pStyle w:val="Nagwek2"/>
      </w:pPr>
      <w:r>
        <w:t>4.1. Ogólne wymagania dotyczące transportu</w:t>
      </w:r>
    </w:p>
    <w:p w:rsidR="00F45603" w:rsidRDefault="00F45603" w:rsidP="00F45603">
      <w:r>
        <w:tab/>
        <w:t>Ogólne wymagania dotyczące transportu podano w OST D-M-00.00.00 „Wymagania ogólne” pkt 4.</w:t>
      </w:r>
    </w:p>
    <w:p w:rsidR="00F45603" w:rsidRDefault="00F45603" w:rsidP="00F45603">
      <w:pPr>
        <w:pStyle w:val="Nagwek2"/>
      </w:pPr>
      <w:r>
        <w:lastRenderedPageBreak/>
        <w:t>4.2. Transport materiałów</w:t>
      </w:r>
    </w:p>
    <w:p w:rsidR="00F45603" w:rsidRDefault="00F45603" w:rsidP="00F45603">
      <w:r>
        <w:rPr>
          <w:b/>
        </w:rPr>
        <w:t>4.2.1.</w:t>
      </w:r>
      <w:r>
        <w:t xml:space="preserve"> Transport kruszywa</w:t>
      </w:r>
    </w:p>
    <w:p w:rsidR="00F45603" w:rsidRDefault="00F45603" w:rsidP="00F45603">
      <w:pPr>
        <w:spacing w:before="120"/>
      </w:pPr>
      <w:r>
        <w:tab/>
        <w:t>Kamień i kruszywo należy przewozić dowolnymi środkami transportu w warunkach zabezpieczających je przed zanieczyszczeniem, zmieszaniem z innymi kruszywami i nadmiernym zawilgoceniem.</w:t>
      </w:r>
    </w:p>
    <w:p w:rsidR="00F45603" w:rsidRDefault="00F45603" w:rsidP="00F45603">
      <w:r>
        <w:tab/>
        <w:t>Sposoby zabezpieczania wyrobów kamiennych podczas transportu powinny odpowiadać BN-67/6747-14 [37].</w:t>
      </w:r>
    </w:p>
    <w:p w:rsidR="00F45603" w:rsidRDefault="00F45603" w:rsidP="00F45603">
      <w:pPr>
        <w:spacing w:before="120" w:after="120"/>
      </w:pPr>
      <w:r>
        <w:rPr>
          <w:b/>
        </w:rPr>
        <w:t xml:space="preserve">4.2.2. </w:t>
      </w:r>
      <w:r>
        <w:t>Transport cementu</w:t>
      </w:r>
    </w:p>
    <w:p w:rsidR="00F45603" w:rsidRDefault="00F45603" w:rsidP="00F45603">
      <w:r>
        <w:tab/>
        <w:t>Transport cementu powinien być zgodny z BN-88/6731-08 [36].</w:t>
      </w:r>
    </w:p>
    <w:p w:rsidR="00F45603" w:rsidRDefault="00F45603" w:rsidP="00F45603">
      <w:r>
        <w:tab/>
        <w:t>Przewóz cementu powinien odbywać się dostosowanymi do tego celu środkami transportu w warunkach zabezpieczających go przed opadami atmosferycznymi, zawilgoceniem, uszkodzeniem opakowania i zanieczyszczeniem.</w:t>
      </w:r>
    </w:p>
    <w:p w:rsidR="00F45603" w:rsidRDefault="00F45603" w:rsidP="00F45603">
      <w:pPr>
        <w:spacing w:before="120" w:after="120"/>
      </w:pPr>
      <w:r>
        <w:rPr>
          <w:b/>
        </w:rPr>
        <w:t xml:space="preserve">4.2.3. </w:t>
      </w:r>
      <w:r>
        <w:t>Transport stali zbrojeniowej</w:t>
      </w:r>
    </w:p>
    <w:p w:rsidR="00F45603" w:rsidRDefault="00F45603" w:rsidP="00F45603">
      <w:r>
        <w:tab/>
        <w:t>Stal zbrojeniową można przewozić dowolnymi środkami transportu w warunkach zabezpieczających przed powstawaniem korozji i uszkodzeniami mechanicznymi.</w:t>
      </w:r>
    </w:p>
    <w:p w:rsidR="00F45603" w:rsidRDefault="00F45603" w:rsidP="00F45603"/>
    <w:p w:rsidR="00F45603" w:rsidRDefault="00F45603" w:rsidP="00F45603">
      <w:pPr>
        <w:spacing w:after="120"/>
      </w:pPr>
      <w:r>
        <w:rPr>
          <w:b/>
        </w:rPr>
        <w:t xml:space="preserve">4.2.4. </w:t>
      </w:r>
      <w:r>
        <w:t>Transport mieszanki betonowej</w:t>
      </w:r>
    </w:p>
    <w:p w:rsidR="00F45603" w:rsidRDefault="00F45603" w:rsidP="00F45603">
      <w:r>
        <w:tab/>
        <w:t>Transport mieszanki betonowej powinien odbywać się zgodnie z normą PN-B-06250 [8].</w:t>
      </w:r>
    </w:p>
    <w:p w:rsidR="00F45603" w:rsidRDefault="00F45603" w:rsidP="00F45603">
      <w:r>
        <w:tab/>
        <w:t>Czas transportu powinien spełniać wymóg zachowania dopuszczalnej zmiany konsystencji mieszanki uzyskanej po jej wytworzeniu.</w:t>
      </w:r>
    </w:p>
    <w:p w:rsidR="00F45603" w:rsidRDefault="00F45603" w:rsidP="00F45603">
      <w:pPr>
        <w:spacing w:before="120" w:after="120"/>
      </w:pPr>
      <w:r>
        <w:rPr>
          <w:b/>
        </w:rPr>
        <w:t xml:space="preserve">4.2.5. </w:t>
      </w:r>
      <w:r>
        <w:t>Transport prefabrykatów</w:t>
      </w:r>
    </w:p>
    <w:p w:rsidR="00F45603" w:rsidRDefault="00F45603" w:rsidP="00F45603">
      <w:r>
        <w:t>Transport wewnętrzny</w:t>
      </w:r>
    </w:p>
    <w:p w:rsidR="00F45603" w:rsidRDefault="00F45603" w:rsidP="00F45603">
      <w:r>
        <w:tab/>
        <w:t>Elementy przepustów wykonywane na budowie mogą być przenoszone po uzyskaniu przez beton wytrzymałości nie niższej niż 0,4 R (W).</w:t>
      </w:r>
    </w:p>
    <w:p w:rsidR="00F45603" w:rsidRDefault="00F45603" w:rsidP="00F45603">
      <w:r>
        <w:t>Transport zewnętrzny</w:t>
      </w:r>
    </w:p>
    <w:p w:rsidR="00F45603" w:rsidRDefault="00F45603" w:rsidP="00F45603">
      <w:r>
        <w:tab/>
        <w:t>Elementy prefabrykowane mogą być przewożone dowolnymi środkami transportu w sposób zabezpieczający je przed uszkodzeniami.</w:t>
      </w:r>
    </w:p>
    <w:p w:rsidR="00F45603" w:rsidRDefault="00F45603" w:rsidP="00F45603">
      <w:r>
        <w:tab/>
        <w:t>Do transportu można przekazać elementy, w których beton osiągnął wytrzymałość co najmniej 0,75 R (W).</w:t>
      </w:r>
    </w:p>
    <w:p w:rsidR="00F45603" w:rsidRDefault="00F45603" w:rsidP="00F45603">
      <w:pPr>
        <w:spacing w:before="120" w:after="120"/>
      </w:pPr>
      <w:r>
        <w:rPr>
          <w:b/>
        </w:rPr>
        <w:t xml:space="preserve">4.2.6. </w:t>
      </w:r>
      <w:r>
        <w:t>Transport drewna i elementów deskowania</w:t>
      </w:r>
    </w:p>
    <w:p w:rsidR="00F45603" w:rsidRDefault="00F45603" w:rsidP="00F45603">
      <w:r>
        <w:tab/>
        <w:t>Drewno i elementy deskowania należy przewozić w warunkach chroniących je przed przemieszczaniem, a elementy metalowe w warunkach zabezpieczających przed korozją i uszkodzeniami mechanicznymi.</w:t>
      </w:r>
    </w:p>
    <w:p w:rsidR="00F45603" w:rsidRDefault="00F45603" w:rsidP="00F45603">
      <w:pPr>
        <w:pStyle w:val="Nagwek1"/>
      </w:pPr>
      <w:bookmarkStart w:id="174" w:name="_Toc424359830"/>
      <w:r>
        <w:t>5. WYKONANIE ROBÓT</w:t>
      </w:r>
      <w:bookmarkEnd w:id="174"/>
    </w:p>
    <w:p w:rsidR="00F45603" w:rsidRDefault="00F45603" w:rsidP="00F45603">
      <w:pPr>
        <w:pStyle w:val="Nagwek2"/>
      </w:pPr>
      <w:r>
        <w:t>5.1. Ogólne zasady wykonania robót</w:t>
      </w:r>
    </w:p>
    <w:p w:rsidR="00F45603" w:rsidRDefault="00F45603" w:rsidP="00F45603">
      <w:r>
        <w:rPr>
          <w:b/>
        </w:rPr>
        <w:tab/>
      </w:r>
      <w:r>
        <w:t>Ogólne zasady wykonania robót podano w OST D-M-00.00.00 „Wymagania ogólne” pkt 5.</w:t>
      </w:r>
    </w:p>
    <w:p w:rsidR="00F45603" w:rsidRDefault="00F45603" w:rsidP="00F45603">
      <w:pPr>
        <w:pStyle w:val="Nagwek2"/>
      </w:pPr>
      <w:r>
        <w:lastRenderedPageBreak/>
        <w:t>5.2. Roboty przygotowawcze</w:t>
      </w:r>
    </w:p>
    <w:p w:rsidR="00F45603" w:rsidRDefault="00F45603" w:rsidP="00F45603">
      <w:r>
        <w:tab/>
        <w:t>Wykonawca zobowiązany jest do przygotowania terenu budowy w zakresie:</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odwodnienia terenu budowy w zakresie i formie uzgodnionej z Inżynierem,</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regulacji cieku na odcinku posadowienia przepustu według dokumentacji projektowej lub SST,</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czasowego przełożenia koryta cieku do czasu wybudowania przepustu wg dokumentacji projektowej, SST lub wskazówek Inżyniera.</w:t>
      </w:r>
    </w:p>
    <w:p w:rsidR="00F45603" w:rsidRDefault="00F45603" w:rsidP="00F45603">
      <w:pPr>
        <w:pStyle w:val="Nagwek2"/>
      </w:pPr>
      <w:r>
        <w:t>5.3. Roboty ziemne</w:t>
      </w:r>
    </w:p>
    <w:p w:rsidR="00F45603" w:rsidRDefault="00F45603" w:rsidP="00F45603">
      <w:pPr>
        <w:spacing w:after="120"/>
      </w:pPr>
      <w:r>
        <w:rPr>
          <w:b/>
        </w:rPr>
        <w:t xml:space="preserve">5.3.1. </w:t>
      </w:r>
      <w:r>
        <w:t>Wykopy</w:t>
      </w:r>
    </w:p>
    <w:p w:rsidR="00F45603" w:rsidRDefault="00F45603" w:rsidP="00F45603">
      <w:r>
        <w:tab/>
        <w:t>Metoda wykonywania robót ziemnych powinna być zgodna z OST D-02.00.00 „Roboty ziemne”.</w:t>
      </w:r>
    </w:p>
    <w:p w:rsidR="00F45603" w:rsidRDefault="00F45603" w:rsidP="00F45603">
      <w:r>
        <w:tab/>
        <w:t>Ściany wykopów winny być zabezpieczone na czas robót wg dokumentacji projektowej, SST i zaleceń Inżyniera. W szczególności zabezpieczenie może polegać na:</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stosowaniu bezpiecznego nachylenia skarp wykopów,</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podparciu lub rozparciu ścian wykopów,</w:t>
      </w:r>
    </w:p>
    <w:p w:rsidR="00F45603" w:rsidRDefault="00F45603" w:rsidP="00B4292E">
      <w:pPr>
        <w:numPr>
          <w:ilvl w:val="0"/>
          <w:numId w:val="34"/>
        </w:numPr>
        <w:overflowPunct w:val="0"/>
        <w:autoSpaceDE w:val="0"/>
        <w:autoSpaceDN w:val="0"/>
        <w:adjustRightInd w:val="0"/>
        <w:spacing w:after="0" w:line="240" w:lineRule="auto"/>
        <w:jc w:val="both"/>
        <w:textAlignment w:val="baseline"/>
      </w:pPr>
      <w:r>
        <w:t>stosowaniu ścianek szczelnych.</w:t>
      </w:r>
    </w:p>
    <w:p w:rsidR="00F45603" w:rsidRDefault="00F45603" w:rsidP="00F45603">
      <w:r>
        <w:tab/>
        <w:t>Do podparcia lub rozparcia ścian wykopów można stosować drewno, elementy stalowe lub inne materiały zaakceptowane przez Inżyniera.</w:t>
      </w:r>
    </w:p>
    <w:p w:rsidR="00F45603" w:rsidRDefault="00F45603" w:rsidP="00F45603">
      <w:r>
        <w:tab/>
        <w:t>Stosowane ścianki szczelne mogą być drewniane albo stalowe wielokrotnego użytku. Typ ścianki oraz sposób jej zagłębienia w grunt musi być zgodny z dokumentacją projektową i zaleceniami Inżyniera.</w:t>
      </w:r>
    </w:p>
    <w:p w:rsidR="00F45603" w:rsidRDefault="00F45603" w:rsidP="00F45603">
      <w:r>
        <w:tab/>
        <w:t>Po wykonaniu robót ściankę szczelną należy usunąć, zaś powstałą szczelinę zasypać gruntem i zagęścić.</w:t>
      </w:r>
    </w:p>
    <w:p w:rsidR="00F45603" w:rsidRDefault="00F45603" w:rsidP="00F45603">
      <w:r>
        <w:tab/>
        <w:t>W uzasadnionych przypadkach, za zgodą Inżyniera, ścianki szczelne można pozostawić w gruncie.</w:t>
      </w:r>
    </w:p>
    <w:p w:rsidR="00F45603" w:rsidRDefault="00F45603" w:rsidP="00F45603">
      <w:r>
        <w:tab/>
        <w:t xml:space="preserve">Przy mechanicznym wykonywaniu wykopu powinna być pozostawiona niedobrana warstwa gruntu, o grubości co najmniej </w:t>
      </w:r>
      <w:smartTag w:uri="urn:schemas-microsoft-com:office:smarttags" w:element="metricconverter">
        <w:smartTagPr>
          <w:attr w:name="productid" w:val="20 cm"/>
        </w:smartTagPr>
        <w:r>
          <w:t>20 cm</w:t>
        </w:r>
      </w:smartTag>
      <w:r>
        <w:t xml:space="preserve"> od projektowanego dna wykopu. Warstwa ta powinna być usunięta ręcznie lub mechanicznie z zastosowaniem koparki z oprzyrządowaniem nie powodującym spulchnienia gruntu.</w:t>
      </w:r>
    </w:p>
    <w:p w:rsidR="00F45603" w:rsidRDefault="00F45603" w:rsidP="00F45603">
      <w:r>
        <w:tab/>
        <w:t>Odchyłki rzędnej wykonanego podłoża od rzędnej określonej w dokumentacji projektowej nie może przekraczać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3,0 cm"/>
        </w:smartTagPr>
        <w:r>
          <w:t>-3,0 cm</w:t>
        </w:r>
      </w:smartTag>
      <w:r>
        <w:t>.</w:t>
      </w:r>
    </w:p>
    <w:p w:rsidR="00F45603" w:rsidRDefault="00F45603" w:rsidP="00F45603">
      <w:pPr>
        <w:spacing w:before="120" w:after="120"/>
      </w:pPr>
      <w:r>
        <w:rPr>
          <w:b/>
        </w:rPr>
        <w:t xml:space="preserve">5.3.2. </w:t>
      </w:r>
      <w:r>
        <w:t>Zasypka przepustu</w:t>
      </w:r>
    </w:p>
    <w:p w:rsidR="00F45603" w:rsidRDefault="00F45603" w:rsidP="00F45603">
      <w:r>
        <w:tab/>
        <w:t>Jako materiał zasypki przepustu należy stosować żwiry, pospółki i piaski co najmniej średnie.</w:t>
      </w:r>
    </w:p>
    <w:p w:rsidR="00F45603" w:rsidRDefault="00F45603" w:rsidP="00F45603">
      <w:r>
        <w:tab/>
        <w:t>Zasypkę nad przepustem należy układać jednocześnie z obu stron przepustu, warstwami jednakowej grubości z jednoczesnym zagęszczeniem według wymagań dokumentacji projektowej lub SST.</w:t>
      </w:r>
    </w:p>
    <w:p w:rsidR="00F45603" w:rsidRDefault="00F45603" w:rsidP="00F45603">
      <w:r>
        <w:tab/>
        <w:t>Wskaźniki zagęszczenia gruntu w wykopach i nasypach należy przyjmować wg PN-S-02205 [34].</w:t>
      </w:r>
    </w:p>
    <w:p w:rsidR="00F45603" w:rsidRDefault="00F45603" w:rsidP="00F45603">
      <w:pPr>
        <w:pStyle w:val="Nagwek2"/>
      </w:pPr>
      <w:r>
        <w:lastRenderedPageBreak/>
        <w:t>5.4. Umocnienie wlotów i wylotów</w:t>
      </w:r>
    </w:p>
    <w:p w:rsidR="00F45603" w:rsidRDefault="00F45603" w:rsidP="00F45603">
      <w:r>
        <w:tab/>
        <w:t>Umocnienie wlotów i wylotów należy wykonać zgodnie z dokumentacją projektową lub SST. Umocnieniu podlega dno oraz skarpy wlotu i wylotu.</w:t>
      </w:r>
    </w:p>
    <w:p w:rsidR="00F45603" w:rsidRDefault="00F45603" w:rsidP="00F45603">
      <w:pPr>
        <w:rPr>
          <w:b/>
        </w:rPr>
      </w:pPr>
      <w:r>
        <w:tab/>
        <w:t>W zależności od rodzaju materiału użytego do umocnienia, wykonanie robót powinno być zgodne z wymaganiami podanymi w OST D-06.00.00 „Roboty wykończeniowe”.</w:t>
      </w:r>
    </w:p>
    <w:p w:rsidR="00F45603" w:rsidRDefault="00F45603" w:rsidP="00F45603">
      <w:pPr>
        <w:pStyle w:val="Nagwek2"/>
      </w:pPr>
      <w:r>
        <w:t>5.5. Ławy fundamentowe pod przepustami</w:t>
      </w:r>
    </w:p>
    <w:p w:rsidR="00F45603" w:rsidRDefault="00F45603" w:rsidP="00F45603">
      <w:r>
        <w:tab/>
        <w:t>Ławy fundamentowe powinny być wykonane zgodnie z dokumentacją projektową i SST.</w:t>
      </w:r>
    </w:p>
    <w:p w:rsidR="00F45603" w:rsidRDefault="00F45603" w:rsidP="00F45603">
      <w:r>
        <w:tab/>
        <w:t>Dopuszczalne odchyłki dla ław fundamentowych przepustów wynoszą:</w:t>
      </w:r>
    </w:p>
    <w:p w:rsidR="00F45603" w:rsidRDefault="00F45603" w:rsidP="00F45603">
      <w:r>
        <w:t>a) różnice wymiarów ławy fundamentowej w planie:</w:t>
      </w:r>
    </w:p>
    <w:p w:rsidR="00F45603" w:rsidRDefault="00F45603" w:rsidP="00F45603">
      <w:r>
        <w:t xml:space="preserve">    </w:t>
      </w:r>
      <w:r>
        <w:sym w:font="Symbol" w:char="F0B1"/>
      </w:r>
      <w:r>
        <w:t xml:space="preserve"> </w:t>
      </w:r>
      <w:smartTag w:uri="urn:schemas-microsoft-com:office:smarttags" w:element="metricconverter">
        <w:smartTagPr>
          <w:attr w:name="productid" w:val="2 cm"/>
        </w:smartTagPr>
        <w:r>
          <w:t>2 cm</w:t>
        </w:r>
      </w:smartTag>
      <w:r>
        <w:t xml:space="preserve"> dla przepustów sklepionych,</w:t>
      </w:r>
    </w:p>
    <w:p w:rsidR="00F45603" w:rsidRDefault="00F45603" w:rsidP="00F45603">
      <w:r>
        <w:t xml:space="preserve">    </w:t>
      </w:r>
      <w:r>
        <w:sym w:font="Symbol" w:char="F0B1"/>
      </w:r>
      <w:r>
        <w:t xml:space="preserve"> </w:t>
      </w:r>
      <w:smartTag w:uri="urn:schemas-microsoft-com:office:smarttags" w:element="metricconverter">
        <w:smartTagPr>
          <w:attr w:name="productid" w:val="5 cm"/>
        </w:smartTagPr>
        <w:r>
          <w:t>5 cm</w:t>
        </w:r>
      </w:smartTag>
      <w:r>
        <w:t xml:space="preserve"> dla przepustów pozostałych,</w:t>
      </w:r>
    </w:p>
    <w:p w:rsidR="00F45603" w:rsidRDefault="00F45603" w:rsidP="00F45603">
      <w:r>
        <w:t>b) różnice rzędnych wierzchu ławy:</w:t>
      </w:r>
    </w:p>
    <w:p w:rsidR="00F45603" w:rsidRDefault="00F45603" w:rsidP="00F45603">
      <w:r>
        <w:t xml:space="preserve">    </w:t>
      </w:r>
      <w:r>
        <w:sym w:font="Symbol" w:char="F0B1"/>
      </w:r>
      <w:r>
        <w:t xml:space="preserve"> </w:t>
      </w:r>
      <w:smartTag w:uri="urn:schemas-microsoft-com:office:smarttags" w:element="metricconverter">
        <w:smartTagPr>
          <w:attr w:name="productid" w:val="0,5 cm"/>
        </w:smartTagPr>
        <w:r>
          <w:t>0,5 cm</w:t>
        </w:r>
      </w:smartTag>
      <w:r>
        <w:t xml:space="preserve"> dla przepustów sklepionych,</w:t>
      </w:r>
    </w:p>
    <w:p w:rsidR="00F45603" w:rsidRDefault="00F45603" w:rsidP="00F45603">
      <w:r>
        <w:t xml:space="preserve">    </w:t>
      </w:r>
      <w:r>
        <w:sym w:font="Symbol" w:char="F0B1"/>
      </w:r>
      <w:r>
        <w:t xml:space="preserve"> </w:t>
      </w:r>
      <w:smartTag w:uri="urn:schemas-microsoft-com:office:smarttags" w:element="metricconverter">
        <w:smartTagPr>
          <w:attr w:name="productid" w:val="2 cm"/>
        </w:smartTagPr>
        <w:r>
          <w:t>2 cm</w:t>
        </w:r>
      </w:smartTag>
      <w:r>
        <w:t xml:space="preserve"> dla przepustów pozostałych.</w:t>
      </w:r>
    </w:p>
    <w:p w:rsidR="00F45603" w:rsidRDefault="00F45603" w:rsidP="00F45603">
      <w:r>
        <w:tab/>
        <w:t>Różnice w niwelecie wynikające z odchyłek wymiarowych rzędnych ławy, nie mogą spowodować spiętrzenia wody w przepuście.</w:t>
      </w:r>
    </w:p>
    <w:p w:rsidR="00F45603" w:rsidRDefault="00F45603" w:rsidP="00F45603">
      <w:pPr>
        <w:pStyle w:val="Nagwek2"/>
      </w:pPr>
      <w:r>
        <w:t>5.6. Roboty betonowe</w:t>
      </w:r>
    </w:p>
    <w:p w:rsidR="00F45603" w:rsidRDefault="00F45603" w:rsidP="00F45603">
      <w:pPr>
        <w:spacing w:after="120"/>
      </w:pPr>
      <w:r>
        <w:rPr>
          <w:b/>
        </w:rPr>
        <w:t xml:space="preserve">5.6.1. </w:t>
      </w:r>
      <w:r>
        <w:t>Wykonanie mieszanki betonowej</w:t>
      </w:r>
    </w:p>
    <w:p w:rsidR="00F45603" w:rsidRDefault="00F45603" w:rsidP="00F45603">
      <w:r>
        <w:tab/>
        <w:t>Mieszanka betonowa dla betonowych elementów konstrukcji przepustów powinna odpowiadać wymaganiom PN-B-06250 [8].</w:t>
      </w:r>
    </w:p>
    <w:p w:rsidR="00F45603" w:rsidRDefault="00F45603" w:rsidP="00F45603">
      <w:r>
        <w:tab/>
        <w:t>Urabialność mieszanki betonowej powinna pozwolić na uzyskanie maksymalnej szczelności po zawibrowaniu bez wystąpienia pustek w masie betonu lub na powierzchni.</w:t>
      </w:r>
    </w:p>
    <w:p w:rsidR="00F45603" w:rsidRDefault="00F45603" w:rsidP="00F45603">
      <w:r>
        <w:tab/>
        <w:t>Urabialność powinna być dostosowana do warunków formowania, określonych przez:</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kształt i wymiary elementu konstrukcji oraz ilość zbrojenia,</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zakładaną gładkość i wygląd powierzchni betonu,</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sposoby układania i zagęszczania mieszanki betonowej.</w:t>
      </w:r>
    </w:p>
    <w:p w:rsidR="00F45603" w:rsidRDefault="00F45603" w:rsidP="00F45603">
      <w:r>
        <w:tab/>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F45603" w:rsidRDefault="00F45603" w:rsidP="00F45603">
      <w:r>
        <w:tab/>
        <w:t>Zawartość powietrza w zagęszczonej mieszance betonowej nie może przekraczać: 2 % w przypadku niestosowania domieszek napowietrzających i od 4,5 do 6,5 % w przypadku stosowania domieszek napowietrzających.</w:t>
      </w:r>
    </w:p>
    <w:p w:rsidR="00F45603" w:rsidRDefault="00F45603" w:rsidP="00F45603">
      <w:r>
        <w:tab/>
        <w:t>Recepta mieszanki betonowej może być ustalona dowolną metodą doświadczalną lub obliczeniowo-doświadczalną zapewniającą uzyskanie betonu o wymaganych właściwościach.</w:t>
      </w:r>
    </w:p>
    <w:p w:rsidR="00F45603" w:rsidRDefault="00F45603" w:rsidP="00F45603">
      <w:r>
        <w:tab/>
        <w:t xml:space="preserve">Do celów produkcyjnych należy sporządzić receptę roboczą, uwzględniającą zawilgocenie kruszywa, pojemność urządzenia mieszającego i sposób dozowania. </w:t>
      </w:r>
    </w:p>
    <w:p w:rsidR="00F45603" w:rsidRDefault="00F45603" w:rsidP="00F45603">
      <w:r>
        <w:lastRenderedPageBreak/>
        <w:tab/>
        <w:t>Zmiana recepty roboczej musi być wykonana, gdy zajdzie co najmniej jeden z poniższych przypadków:</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zmiana rodzaju składników,</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zmiana uziarnienia kruszywa,</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zmiana zawilgocenia wywołująca w stosunku do poprzedniej recepty roboczej zmiany w całkowitej ilości wody zarobowej w </w:t>
      </w:r>
      <w:smartTag w:uri="urn:schemas-microsoft-com:office:smarttags" w:element="metricconverter">
        <w:smartTagPr>
          <w:attr w:name="productid" w:val="1 m3"/>
        </w:smartTagPr>
        <w:r>
          <w:t>1 m</w:t>
        </w:r>
        <w:r>
          <w:rPr>
            <w:vertAlign w:val="superscript"/>
          </w:rPr>
          <w:t>3</w:t>
        </w:r>
      </w:smartTag>
      <w:r>
        <w:t xml:space="preserve"> mieszanki betonowej przekraczającej </w:t>
      </w:r>
      <w:r>
        <w:sym w:font="Symbol" w:char="F0B1"/>
      </w:r>
      <w:r>
        <w:t xml:space="preserve"> 5 dcm</w:t>
      </w:r>
      <w:r>
        <w:rPr>
          <w:vertAlign w:val="superscript"/>
        </w:rPr>
        <w:t>3</w:t>
      </w:r>
      <w:r>
        <w:t>.</w:t>
      </w:r>
    </w:p>
    <w:p w:rsidR="00F45603" w:rsidRDefault="00F45603" w:rsidP="00F45603">
      <w:r>
        <w:tab/>
        <w:t>Wykonanie mieszanek betonowych musi odbywać się wyłącznie w betoniarkach przeciwbieżnych lub betonowniach. Składniki mieszanki wg recepty roboczej muszą być dozowane wagowo z dokładnością:</w:t>
      </w:r>
    </w:p>
    <w:p w:rsidR="00F45603" w:rsidRDefault="00F45603" w:rsidP="00F45603">
      <w:r>
        <w:tab/>
      </w:r>
      <w:r>
        <w:sym w:font="Symbol" w:char="F0B1"/>
      </w:r>
      <w:r>
        <w:t xml:space="preserve"> 2 % dla cementu, wody, dodatków,</w:t>
      </w:r>
    </w:p>
    <w:p w:rsidR="00F45603" w:rsidRDefault="00F45603" w:rsidP="00F45603">
      <w:r>
        <w:tab/>
      </w:r>
      <w:r>
        <w:sym w:font="Symbol" w:char="F0B1"/>
      </w:r>
      <w:r>
        <w:t xml:space="preserve"> 3 % dla kruszywa.</w:t>
      </w:r>
    </w:p>
    <w:p w:rsidR="00F45603" w:rsidRDefault="00F45603" w:rsidP="00F45603">
      <w:r>
        <w:tab/>
        <w:t>Objętość składników jednego zarobu betoniarki nie powinna być mniejsza niż 90 % i nie może być większa niż 100 % jej pojemności roboczej.</w:t>
      </w:r>
    </w:p>
    <w:p w:rsidR="00F45603" w:rsidRDefault="00F45603" w:rsidP="00F45603">
      <w:r>
        <w:tab/>
        <w:t>Czas mieszania zarobu musi być ustalony doświadczalnie, jednak nie powinien on być krótszy niż 2 minuty.</w:t>
      </w:r>
    </w:p>
    <w:p w:rsidR="00F45603" w:rsidRDefault="00F45603" w:rsidP="00F45603">
      <w:r>
        <w:tab/>
        <w:t xml:space="preserve">Konsystencja mieszanki betonowej nie może różnić się od konsystencji założonej (wg recepty roboczej) więcej niż </w:t>
      </w:r>
      <w:r>
        <w:sym w:font="Symbol" w:char="F0B1"/>
      </w:r>
      <w:r>
        <w:t xml:space="preserve"> 20 % wskaźnika Ve-Be. Przy temperaturze 0</w:t>
      </w:r>
      <w:r>
        <w:rPr>
          <w:vertAlign w:val="superscript"/>
        </w:rPr>
        <w:t>o</w:t>
      </w:r>
      <w:r>
        <w:t xml:space="preserve"> C wykonywanie mieszanki betonowej należy przerwać, za wyjątkiem sytuacji szczególnych, w uzgodnieniu z Inżynierem.</w:t>
      </w:r>
    </w:p>
    <w:p w:rsidR="00F45603" w:rsidRDefault="00F45603" w:rsidP="00F45603">
      <w:pPr>
        <w:spacing w:before="120" w:after="120"/>
      </w:pPr>
      <w:r>
        <w:rPr>
          <w:b/>
        </w:rPr>
        <w:t xml:space="preserve">5.6.2. </w:t>
      </w:r>
      <w:r>
        <w:t>Wykonanie zbrojenia</w:t>
      </w:r>
    </w:p>
    <w:p w:rsidR="00F45603" w:rsidRDefault="00F45603" w:rsidP="00F45603">
      <w:r>
        <w:tab/>
        <w:t>Zbrojenie powinno być wykonane wg dokumentacji projektowej, wymagań SST i zgodnie z postanowieniem PN-B-06251 [9].</w:t>
      </w:r>
    </w:p>
    <w:p w:rsidR="00F45603" w:rsidRDefault="00F45603" w:rsidP="00F45603">
      <w:r>
        <w:tab/>
        <w:t>Zbrojenie powinno być wykonane w zbrojarni stałej lub poligonowej.</w:t>
      </w:r>
    </w:p>
    <w:p w:rsidR="00F45603" w:rsidRDefault="00F45603" w:rsidP="00F45603">
      <w:r>
        <w:tab/>
        <w:t xml:space="preserve">Sposób wykonania szkieletu musi zapewnić niezmienność geometryczną szkieletu w czasie transportu na miejsce wbudowania. Do tego celu zaleca się łączenie węzłów na przecięciu prętów drutem wiązałkowym wyżarzonym o średnicy nie mniejszej niż </w:t>
      </w:r>
      <w:smartTag w:uri="urn:schemas-microsoft-com:office:smarttags" w:element="metricconverter">
        <w:smartTagPr>
          <w:attr w:name="productid" w:val="0,6 mm"/>
        </w:smartTagPr>
        <w:r>
          <w:t>0,6 mm</w:t>
        </w:r>
      </w:smartTag>
      <w:r>
        <w:t xml:space="preserve">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F45603" w:rsidRDefault="00F45603" w:rsidP="00F45603">
      <w:r>
        <w:tab/>
        <w:t>Sprawdzeniu podlegają:</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średnice użytych prętów,</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rozstaw prętów - różnice rozstawu prętów głównych w płytach nie powinny przekraczać </w:t>
      </w:r>
      <w:smartTag w:uri="urn:schemas-microsoft-com:office:smarttags" w:element="metricconverter">
        <w:smartTagPr>
          <w:attr w:name="productid" w:val="1 cm"/>
        </w:smartTagPr>
        <w:r>
          <w:t>1 cm</w:t>
        </w:r>
      </w:smartTag>
      <w:r>
        <w:t xml:space="preserve">, a w innych elementach </w:t>
      </w:r>
      <w:smartTag w:uri="urn:schemas-microsoft-com:office:smarttags" w:element="metricconverter">
        <w:smartTagPr>
          <w:attr w:name="productid" w:val="0,5 cm"/>
        </w:smartTagPr>
        <w:r>
          <w:t>0,5 cm</w:t>
        </w:r>
      </w:smartTag>
      <w:r>
        <w:t>,</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rozstaw strzemion nie powinien różnić się od projektowanego o więcej niż  </w:t>
      </w:r>
      <w:r>
        <w:sym w:font="Symbol" w:char="F0B1"/>
      </w:r>
      <w:r>
        <w:t xml:space="preserve"> </w:t>
      </w:r>
      <w:smartTag w:uri="urn:schemas-microsoft-com:office:smarttags" w:element="metricconverter">
        <w:smartTagPr>
          <w:attr w:name="productid" w:val="2 cm"/>
        </w:smartTagPr>
        <w:r>
          <w:t>2 cm</w:t>
        </w:r>
      </w:smartTag>
      <w:r>
        <w:t>,</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różnice długości prętów, położenie miejsc kończenia ich hakami, odcięcia - nie mogą odbiegać od dokumentacji projektowej o więcej niż  </w:t>
      </w:r>
      <w:r>
        <w:sym w:font="Symbol" w:char="F0B1"/>
      </w:r>
      <w:r>
        <w:t xml:space="preserve"> </w:t>
      </w:r>
      <w:smartTag w:uri="urn:schemas-microsoft-com:office:smarttags" w:element="metricconverter">
        <w:smartTagPr>
          <w:attr w:name="productid" w:val="5 cm"/>
        </w:smartTagPr>
        <w:r>
          <w:t>5 cm</w:t>
        </w:r>
      </w:smartTag>
      <w:r>
        <w:t>,</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otuliny zewnętrzne utrzymane w granicach wymagań projektowych bez tolerancji ujemnych,</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powiązanie zbrojenia w sposób stabilizujący jego położenie w czasie betonowania i zagęszczania.</w:t>
      </w:r>
    </w:p>
    <w:p w:rsidR="00F45603" w:rsidRDefault="00F45603" w:rsidP="00F45603">
      <w:pPr>
        <w:spacing w:before="120" w:after="120"/>
      </w:pPr>
      <w:r>
        <w:rPr>
          <w:b/>
        </w:rPr>
        <w:t xml:space="preserve">5.6.3. </w:t>
      </w:r>
      <w:r>
        <w:t>Wykonanie deskowań</w:t>
      </w:r>
    </w:p>
    <w:p w:rsidR="00F45603" w:rsidRDefault="00F45603" w:rsidP="00F45603">
      <w:r>
        <w:tab/>
        <w:t>Przy wykonaniu deskowań należy stosować zalecenia PN-B-06251 [9] dla deskowań drewnianych i ew. BN-73/9081-02 [42] dla - stalowych.</w:t>
      </w:r>
    </w:p>
    <w:p w:rsidR="00F45603" w:rsidRDefault="00F45603" w:rsidP="00F45603">
      <w:r>
        <w:lastRenderedPageBreak/>
        <w:tab/>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F45603" w:rsidRDefault="00F45603" w:rsidP="00F45603">
      <w:pPr>
        <w:spacing w:before="120" w:after="120"/>
      </w:pPr>
      <w:r>
        <w:rPr>
          <w:b/>
        </w:rPr>
        <w:t xml:space="preserve">5.6.4. </w:t>
      </w:r>
      <w:r>
        <w:t>Betonowanie i pielęgnacja</w:t>
      </w:r>
    </w:p>
    <w:p w:rsidR="00F45603" w:rsidRDefault="00F45603" w:rsidP="00F45603">
      <w:r>
        <w:tab/>
        <w:t>Elementy przepustów z betonu powinny być wykonane zgodnie z dokumentacją projektową i SST oraz powinny odpowiadać wymaganiom:</w:t>
      </w:r>
    </w:p>
    <w:p w:rsidR="00F45603" w:rsidRDefault="00F45603" w:rsidP="00B4292E">
      <w:pPr>
        <w:numPr>
          <w:ilvl w:val="0"/>
          <w:numId w:val="51"/>
        </w:numPr>
        <w:overflowPunct w:val="0"/>
        <w:autoSpaceDE w:val="0"/>
        <w:autoSpaceDN w:val="0"/>
        <w:adjustRightInd w:val="0"/>
        <w:spacing w:after="0" w:line="240" w:lineRule="auto"/>
        <w:jc w:val="both"/>
        <w:textAlignment w:val="baseline"/>
      </w:pPr>
      <w:r>
        <w:t>PN-B-06250 [8] w zakresie wytrzymałości, nasiąkliwości i odporności na działanie mrozu,</w:t>
      </w:r>
    </w:p>
    <w:p w:rsidR="00F45603" w:rsidRDefault="00F45603" w:rsidP="00B4292E">
      <w:pPr>
        <w:numPr>
          <w:ilvl w:val="0"/>
          <w:numId w:val="51"/>
        </w:numPr>
        <w:overflowPunct w:val="0"/>
        <w:autoSpaceDE w:val="0"/>
        <w:autoSpaceDN w:val="0"/>
        <w:adjustRightInd w:val="0"/>
        <w:spacing w:after="0" w:line="240" w:lineRule="auto"/>
        <w:jc w:val="both"/>
        <w:textAlignment w:val="baseline"/>
      </w:pPr>
      <w:r>
        <w:t>PN-B-06251 [9] i PN-B-06250 [8] w zakresie składu betonu, mieszania, zagęszczania, dojrzewania, pielęgnacji i transportu.</w:t>
      </w:r>
    </w:p>
    <w:p w:rsidR="00F45603" w:rsidRDefault="00F45603" w:rsidP="00F45603">
      <w:r>
        <w:tab/>
        <w:t>Betonowanie konstrukcji należy wykonywać wyłącznie w temperaturach nie niższych niż + 5</w:t>
      </w:r>
      <w:r>
        <w:rPr>
          <w:vertAlign w:val="superscript"/>
        </w:rPr>
        <w:t>o</w:t>
      </w:r>
      <w:r>
        <w:t xml:space="preserve"> C. W wyjątkowych przypadkach dopuszcza się betonowanie w temperaturze niższej niż 5</w:t>
      </w:r>
      <w:r>
        <w:rPr>
          <w:vertAlign w:val="superscript"/>
        </w:rPr>
        <w:t>o</w:t>
      </w:r>
      <w:r>
        <w:t xml:space="preserve"> C, jednak wymaga to zgody Inżyniera oraz zapewnienia mieszance betonowej temperatury + 20</w:t>
      </w:r>
      <w:r>
        <w:rPr>
          <w:vertAlign w:val="superscript"/>
        </w:rPr>
        <w:t>o</w:t>
      </w:r>
      <w:r>
        <w:t xml:space="preserve"> C w chwili jej układania i zabezpieczenia uformowanego elementu przed utratą ciepła w czasie co najmniej 7 dni.</w:t>
      </w:r>
    </w:p>
    <w:p w:rsidR="00F45603" w:rsidRDefault="00F45603" w:rsidP="00F45603">
      <w:r>
        <w:tab/>
        <w:t>Bezpośrednio po zakończeniu betonowania zaleca się przykrycie powierzchni betonu lekkimi osłonami wodoszczelnymi, zapobiegającymi odparowaniu wody z betonu i chroniącymi beton przed deszczem i inną wodą.</w:t>
      </w:r>
    </w:p>
    <w:p w:rsidR="00F45603" w:rsidRDefault="00F45603" w:rsidP="00F45603">
      <w:r>
        <w:tab/>
        <w:t xml:space="preserve">Woda stosowana do polewania betonu powinna spełniać wymagania normy PN-B-32250 [24]. </w:t>
      </w:r>
    </w:p>
    <w:p w:rsidR="00F45603" w:rsidRDefault="00F45603" w:rsidP="00F45603">
      <w:r>
        <w:tab/>
        <w:t>Dopuszcza się inne rodzaje pielęgnacji po akceptacji Inżyniera.</w:t>
      </w:r>
    </w:p>
    <w:p w:rsidR="00F45603" w:rsidRDefault="00F45603" w:rsidP="00F45603">
      <w:r>
        <w:tab/>
        <w:t>Rozformowanie konstrukcji, jeżeli dokumentacja projektowa nie przewiduje inaczej, może nastąpić po osiągnięciu przez beton co najmniej 2/3 wytrzymałości projektowej.</w:t>
      </w:r>
    </w:p>
    <w:p w:rsidR="00F45603" w:rsidRDefault="00F45603" w:rsidP="00F45603">
      <w:pPr>
        <w:pStyle w:val="Nagwek2"/>
      </w:pPr>
      <w:r>
        <w:t>5.7. Wykonanie betonowych elementów prefabrykowanych</w:t>
      </w:r>
    </w:p>
    <w:p w:rsidR="00F45603" w:rsidRDefault="00F45603" w:rsidP="00F45603">
      <w:r>
        <w:tab/>
        <w:t>W przypadku wykonywania prefabrykatów elementów przepustów na terenie budowy, kształt i ich wymiary powinny być zgodne z dokumentacją projektową. Dopuszcza się odchyłki wymiarów podane w punkcie 2.6.</w:t>
      </w:r>
    </w:p>
    <w:p w:rsidR="00F45603" w:rsidRDefault="00F45603" w:rsidP="00F45603">
      <w:r>
        <w:tab/>
        <w:t xml:space="preserve">Średnice prętów i usytuowanie zbrojenia powinny być zgodne z dokumentacją projektową. Otulenie prętów zbrojenia betonem od zewnątrz powinno wynosić co najmniej </w:t>
      </w:r>
      <w:smartTag w:uri="urn:schemas-microsoft-com:office:smarttags" w:element="metricconverter">
        <w:smartTagPr>
          <w:attr w:name="productid" w:val="30 mm"/>
        </w:smartTagPr>
        <w:r>
          <w:t>30 mm</w:t>
        </w:r>
      </w:smartTag>
      <w:r>
        <w:t xml:space="preserve"> dla przepustów rurowych i </w:t>
      </w:r>
      <w:smartTag w:uri="urn:schemas-microsoft-com:office:smarttags" w:element="metricconverter">
        <w:smartTagPr>
          <w:attr w:name="productid" w:val="40 mm"/>
        </w:smartTagPr>
        <w:r>
          <w:t>40 mm</w:t>
        </w:r>
      </w:smartTag>
      <w: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t>5 mm</w:t>
        </w:r>
      </w:smartTag>
      <w:r>
        <w:t>.</w:t>
      </w:r>
    </w:p>
    <w:p w:rsidR="00F45603" w:rsidRDefault="00F45603" w:rsidP="00F45603">
      <w:pPr>
        <w:pStyle w:val="Nagwek2"/>
      </w:pPr>
      <w:r>
        <w:t>5.8. Montaż betonowych elementów prefabrykowanych przepustu i ścianek czołowych</w:t>
      </w:r>
    </w:p>
    <w:p w:rsidR="00F45603" w:rsidRDefault="00F45603" w:rsidP="00F45603">
      <w:r>
        <w:rPr>
          <w:b/>
        </w:rPr>
        <w:t xml:space="preserve">        </w:t>
      </w:r>
      <w:r>
        <w:rPr>
          <w:b/>
        </w:rPr>
        <w:tab/>
      </w:r>
      <w:r>
        <w:t>Elementy przepustu i ścianki czołowej z prefabrykowanych elementów powinny być ustawiane na przygotowanym podłożu zgodnie z dokumentacją projektową. Styki elementów powinny być wypełnione zaprawą cementową wg PN-B-14501 [20].</w:t>
      </w:r>
    </w:p>
    <w:p w:rsidR="00F45603" w:rsidRDefault="00F45603" w:rsidP="00F45603">
      <w:pPr>
        <w:pStyle w:val="Nagwek2"/>
      </w:pPr>
      <w:r>
        <w:t>5.9. Wykonanie ścianki czołowej z kamienia łamanego</w:t>
      </w:r>
    </w:p>
    <w:p w:rsidR="00F45603" w:rsidRDefault="00F45603" w:rsidP="00F45603">
      <w:r>
        <w:tab/>
        <w:t>Ścianka czołowa z kamienia łamanego powinna być wykonana jako mur pełny na zaprawie cementowej i odpowiadać wymaganiom BN-74/8841-19 [41].</w:t>
      </w:r>
    </w:p>
    <w:p w:rsidR="00F45603" w:rsidRDefault="00F45603" w:rsidP="00F45603">
      <w:r>
        <w:lastRenderedPageBreak/>
        <w:tab/>
        <w:t>Roboty murowe z kamienia powinny być wykonane zgodnie z dokumentacją projektową i SST.</w:t>
      </w:r>
    </w:p>
    <w:p w:rsidR="00F45603" w:rsidRDefault="00F45603" w:rsidP="00F45603">
      <w:r>
        <w:tab/>
        <w:t>Kamień i zaprawa cementowa powinny odpowiadać wymaganiom  pkt 2.</w:t>
      </w:r>
    </w:p>
    <w:p w:rsidR="00F45603" w:rsidRDefault="00F45603" w:rsidP="00F45603">
      <w:r>
        <w:tab/>
        <w:t>Przy wykonywaniu ścianki powinny być zachowane następujące zasady:</w:t>
      </w:r>
    </w:p>
    <w:p w:rsidR="00F45603" w:rsidRDefault="00F45603" w:rsidP="00B4292E">
      <w:pPr>
        <w:numPr>
          <w:ilvl w:val="0"/>
          <w:numId w:val="52"/>
        </w:numPr>
        <w:overflowPunct w:val="0"/>
        <w:autoSpaceDE w:val="0"/>
        <w:autoSpaceDN w:val="0"/>
        <w:adjustRightInd w:val="0"/>
        <w:spacing w:after="0" w:line="240" w:lineRule="auto"/>
        <w:jc w:val="both"/>
        <w:textAlignment w:val="baseline"/>
      </w:pPr>
      <w:r>
        <w:t>ściankę kamienną należy wykonywać przy temperaturze powietrza nie mniejszej niż              0</w:t>
      </w:r>
      <w:r>
        <w:rPr>
          <w:vertAlign w:val="superscript"/>
        </w:rPr>
        <w:t>o</w:t>
      </w:r>
      <w:r>
        <w:t xml:space="preserve"> C, a zaleca się ją wykonywać w temperaturze + 5</w:t>
      </w:r>
      <w:r>
        <w:rPr>
          <w:vertAlign w:val="superscript"/>
        </w:rPr>
        <w:t>o</w:t>
      </w:r>
      <w:r>
        <w:t xml:space="preserve"> C,</w:t>
      </w:r>
    </w:p>
    <w:p w:rsidR="00F45603" w:rsidRDefault="00F45603" w:rsidP="00B4292E">
      <w:pPr>
        <w:numPr>
          <w:ilvl w:val="0"/>
          <w:numId w:val="52"/>
        </w:numPr>
        <w:overflowPunct w:val="0"/>
        <w:autoSpaceDE w:val="0"/>
        <w:autoSpaceDN w:val="0"/>
        <w:adjustRightInd w:val="0"/>
        <w:spacing w:after="0" w:line="240" w:lineRule="auto"/>
        <w:jc w:val="both"/>
        <w:textAlignment w:val="baseline"/>
      </w:pPr>
      <w:r>
        <w:t>kamienie powinny być oczyszczone i zmoczone przed ułożeniem,</w:t>
      </w:r>
    </w:p>
    <w:p w:rsidR="00F45603" w:rsidRDefault="00F45603" w:rsidP="00B4292E">
      <w:pPr>
        <w:numPr>
          <w:ilvl w:val="0"/>
          <w:numId w:val="52"/>
        </w:numPr>
        <w:overflowPunct w:val="0"/>
        <w:autoSpaceDE w:val="0"/>
        <w:autoSpaceDN w:val="0"/>
        <w:adjustRightInd w:val="0"/>
        <w:spacing w:after="0" w:line="240" w:lineRule="auto"/>
        <w:jc w:val="both"/>
        <w:textAlignment w:val="baseline"/>
      </w:pPr>
      <w:r>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rsidR="00F45603" w:rsidRDefault="00F45603" w:rsidP="00B4292E">
      <w:pPr>
        <w:numPr>
          <w:ilvl w:val="0"/>
          <w:numId w:val="52"/>
        </w:numPr>
        <w:overflowPunct w:val="0"/>
        <w:autoSpaceDE w:val="0"/>
        <w:autoSpaceDN w:val="0"/>
        <w:adjustRightInd w:val="0"/>
        <w:spacing w:after="0" w:line="240" w:lineRule="auto"/>
        <w:jc w:val="both"/>
        <w:textAlignment w:val="baseline"/>
      </w:pPr>
      <w:r>
        <w:t>spoiny pionowe w dwóch kolejnych warstwach kamienia powinny mijać się,</w:t>
      </w:r>
    </w:p>
    <w:p w:rsidR="00F45603" w:rsidRDefault="00F45603" w:rsidP="00B4292E">
      <w:pPr>
        <w:numPr>
          <w:ilvl w:val="0"/>
          <w:numId w:val="52"/>
        </w:numPr>
        <w:overflowPunct w:val="0"/>
        <w:autoSpaceDE w:val="0"/>
        <w:autoSpaceDN w:val="0"/>
        <w:adjustRightInd w:val="0"/>
        <w:spacing w:after="0" w:line="240" w:lineRule="auto"/>
        <w:jc w:val="both"/>
        <w:textAlignment w:val="baseline"/>
      </w:pPr>
      <w:r>
        <w:t>na każdą warstwę kamienia powinna być nałożona warstwa zaprawy w taki sposób, aby w murze nie było miejsc niezapełnionych zaprawą,</w:t>
      </w:r>
    </w:p>
    <w:p w:rsidR="00F45603" w:rsidRDefault="00F45603" w:rsidP="00B4292E">
      <w:pPr>
        <w:numPr>
          <w:ilvl w:val="0"/>
          <w:numId w:val="52"/>
        </w:numPr>
        <w:overflowPunct w:val="0"/>
        <w:autoSpaceDE w:val="0"/>
        <w:autoSpaceDN w:val="0"/>
        <w:adjustRightInd w:val="0"/>
        <w:spacing w:after="0" w:line="240" w:lineRule="auto"/>
        <w:jc w:val="both"/>
        <w:textAlignment w:val="baseline"/>
      </w:pPr>
      <w:r>
        <w:t>wygląd zewnętrzny ścianki powinien być utrzymany w jednolitym charakterze.</w:t>
      </w:r>
    </w:p>
    <w:p w:rsidR="00F45603" w:rsidRDefault="00F45603" w:rsidP="00F45603">
      <w:r>
        <w:tab/>
        <w:t>Ścianka z kamienia powinna być wykonana tak, aby jej powierzchnia licowa była zbliżona do płaszczyzn pionowych lub poziomych, a krawędzie przecięcia płaszczyzn były w przybliżeniu liniami prostymi.</w:t>
      </w:r>
    </w:p>
    <w:p w:rsidR="00F45603" w:rsidRDefault="00F45603" w:rsidP="00F45603">
      <w:pPr>
        <w:pStyle w:val="Nagwek2"/>
      </w:pPr>
      <w:r>
        <w:t>5.10. Izolacja przepustów</w:t>
      </w:r>
    </w:p>
    <w:p w:rsidR="00F45603" w:rsidRDefault="00F45603" w:rsidP="00F45603">
      <w:r>
        <w:tab/>
        <w:t>Przed ułożeniem izolacji w miejscach wskazanych w dokumentacji projektowej, powierzchnie izolowane należy zagruntować np. przez:</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dwukrotne smarowanie betonu emulsją kationową w przypadku powierzchni wilgotnych,</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posmarowanie roztworem asfaltowym w przypadku powierzchni suchych,</w:t>
      </w:r>
    </w:p>
    <w:p w:rsidR="00F45603" w:rsidRDefault="00F45603" w:rsidP="00F45603">
      <w:r>
        <w:t>lub innymi materiałami zaakceptowanymi przez Inżyniera.</w:t>
      </w:r>
    </w:p>
    <w:p w:rsidR="00F45603" w:rsidRDefault="00F45603" w:rsidP="00F45603">
      <w:r>
        <w:tab/>
        <w:t>Zagruntowaną powierzchnię bezpośrednio przed ułożeniem izolacji należy smarować lepikiem bitumicznym na gorąco i ułożyć izolację z papy asfaltowej.</w:t>
      </w:r>
    </w:p>
    <w:p w:rsidR="00F45603" w:rsidRDefault="00F45603" w:rsidP="00F45603">
      <w:r>
        <w:tab/>
        <w:t>Dopuszcza się stosowanie innych rodzajów izolacji po zaakceptowaniu przez Inżyniera. Elementy nie pokryte izolacją przed zasypaniem gruntem należy smarować dwukrotnie lepikiem bitumicznym na gorąco.</w:t>
      </w:r>
    </w:p>
    <w:p w:rsidR="00F45603" w:rsidRDefault="00F45603" w:rsidP="00F45603">
      <w:pPr>
        <w:pStyle w:val="Nagwek1"/>
      </w:pPr>
      <w:bookmarkStart w:id="175" w:name="_Toc424359831"/>
      <w:r>
        <w:t>6. KONTROLA JAKOŚCI ROBÓT</w:t>
      </w:r>
      <w:bookmarkEnd w:id="175"/>
    </w:p>
    <w:p w:rsidR="00F45603" w:rsidRDefault="00F45603" w:rsidP="00F45603">
      <w:pPr>
        <w:pStyle w:val="Nagwek2"/>
      </w:pPr>
      <w:r>
        <w:t>6.1. Ogólne zasady kontroli jakości robót</w:t>
      </w:r>
    </w:p>
    <w:p w:rsidR="00F45603" w:rsidRDefault="00F45603" w:rsidP="00F45603">
      <w:r>
        <w:tab/>
        <w:t>Ogólne zasady kontroli jakości robót podano w OST D-M-00.00.00 „Wymagania ogólne” pkt 6.</w:t>
      </w:r>
    </w:p>
    <w:p w:rsidR="00F45603" w:rsidRDefault="00F45603" w:rsidP="00F45603">
      <w:pPr>
        <w:pStyle w:val="Nagwek2"/>
      </w:pPr>
      <w:r>
        <w:t>6.2. Kontrola prawidłowości wykonania robót przygotowawczych i robót ziemnych</w:t>
      </w:r>
    </w:p>
    <w:p w:rsidR="00F45603" w:rsidRDefault="00F45603" w:rsidP="00F45603">
      <w:r>
        <w:rPr>
          <w:b/>
        </w:rPr>
        <w:tab/>
      </w:r>
      <w:r>
        <w:t>Kontrolę robót przygotowawczych i robót ziemnych należy przeprowadzić z uwzględnieniem wymagań podanych w punkcie 5.2 i 5.3.</w:t>
      </w:r>
    </w:p>
    <w:p w:rsidR="00F45603" w:rsidRDefault="00F45603" w:rsidP="00F45603">
      <w:pPr>
        <w:pStyle w:val="Nagwek2"/>
      </w:pPr>
      <w:r>
        <w:t>6.3. Kontrola robót betonowych i żelbetowych</w:t>
      </w:r>
    </w:p>
    <w:p w:rsidR="00F45603" w:rsidRDefault="00F45603" w:rsidP="00F45603">
      <w:r>
        <w:tab/>
        <w:t>W czasie wykonywania robót należy przeprowadzać systematyczną kontrolę składników betonu, mieszanki betonowej i wykonanego betonu wg PN-B-06250 [8], zgodnie z tablicą 6.</w:t>
      </w:r>
    </w:p>
    <w:p w:rsidR="00F45603" w:rsidRDefault="00F45603" w:rsidP="00F45603">
      <w:r>
        <w:tab/>
        <w:t>Kontrola zbrojenia polega na sprawdzeniu średnic, ilości i rozmieszczenia zbrojenia w porównaniu z dokumentacją projektową oraz z wymaganiami PN-B-06251 [9].</w:t>
      </w:r>
    </w:p>
    <w:p w:rsidR="00F45603" w:rsidRDefault="00F45603" w:rsidP="00F45603"/>
    <w:p w:rsidR="00F45603" w:rsidRDefault="00F45603" w:rsidP="00F45603"/>
    <w:p w:rsidR="00F45603" w:rsidRDefault="00F45603" w:rsidP="00F45603"/>
    <w:p w:rsidR="00F45603" w:rsidRDefault="00F45603" w:rsidP="00F45603"/>
    <w:p w:rsidR="00F45603" w:rsidRDefault="00F45603" w:rsidP="00F45603"/>
    <w:p w:rsidR="00F45603" w:rsidRDefault="00F45603" w:rsidP="00F45603"/>
    <w:p w:rsidR="00F45603" w:rsidRDefault="00F45603" w:rsidP="00F45603">
      <w:r>
        <w:t xml:space="preserve">Tablica 6. Zestawienie wymaganych badań betonu w czasie budowy według PN-B-06250 </w:t>
      </w:r>
    </w:p>
    <w:p w:rsidR="00F45603" w:rsidRDefault="00F45603" w:rsidP="00F45603">
      <w:pPr>
        <w:spacing w:after="120"/>
      </w:pPr>
      <w:r>
        <w:t xml:space="preserve">                 [8]</w:t>
      </w: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2469"/>
      </w:tblGrid>
      <w:tr w:rsidR="00F45603" w:rsidTr="00E558D1">
        <w:tc>
          <w:tcPr>
            <w:tcW w:w="496" w:type="dxa"/>
            <w:tcBorders>
              <w:top w:val="single" w:sz="6" w:space="0" w:color="auto"/>
              <w:left w:val="single" w:sz="6" w:space="0" w:color="auto"/>
              <w:bottom w:val="double" w:sz="6" w:space="0" w:color="auto"/>
            </w:tcBorders>
          </w:tcPr>
          <w:p w:rsidR="00F45603" w:rsidRDefault="00F45603" w:rsidP="00E558D1">
            <w:pPr>
              <w:jc w:val="center"/>
            </w:pPr>
            <w:r>
              <w:t>Lp.</w:t>
            </w:r>
          </w:p>
        </w:tc>
        <w:tc>
          <w:tcPr>
            <w:tcW w:w="2835" w:type="dxa"/>
            <w:tcBorders>
              <w:top w:val="single" w:sz="6" w:space="0" w:color="auto"/>
              <w:left w:val="single" w:sz="6" w:space="0" w:color="auto"/>
              <w:bottom w:val="double" w:sz="6" w:space="0" w:color="auto"/>
            </w:tcBorders>
          </w:tcPr>
          <w:p w:rsidR="00F45603" w:rsidRDefault="00F45603" w:rsidP="00E558D1">
            <w:pPr>
              <w:jc w:val="center"/>
            </w:pPr>
            <w:r>
              <w:t>Rodzaj badania</w:t>
            </w:r>
          </w:p>
        </w:tc>
        <w:tc>
          <w:tcPr>
            <w:tcW w:w="1783" w:type="dxa"/>
            <w:tcBorders>
              <w:top w:val="single" w:sz="6" w:space="0" w:color="auto"/>
              <w:left w:val="single" w:sz="6" w:space="0" w:color="auto"/>
              <w:bottom w:val="double" w:sz="6" w:space="0" w:color="auto"/>
            </w:tcBorders>
          </w:tcPr>
          <w:p w:rsidR="00F45603" w:rsidRDefault="00F45603" w:rsidP="00E558D1">
            <w:pPr>
              <w:jc w:val="center"/>
            </w:pPr>
            <w:r>
              <w:t>Metoda badania wg</w:t>
            </w:r>
          </w:p>
        </w:tc>
        <w:tc>
          <w:tcPr>
            <w:tcW w:w="2469" w:type="dxa"/>
            <w:tcBorders>
              <w:top w:val="single" w:sz="6" w:space="0" w:color="auto"/>
              <w:left w:val="single" w:sz="6" w:space="0" w:color="auto"/>
              <w:bottom w:val="double" w:sz="6" w:space="0" w:color="auto"/>
              <w:right w:val="single" w:sz="6" w:space="0" w:color="auto"/>
            </w:tcBorders>
          </w:tcPr>
          <w:p w:rsidR="00F45603" w:rsidRDefault="00F45603" w:rsidP="00E558D1">
            <w:pPr>
              <w:jc w:val="center"/>
            </w:pPr>
            <w:r>
              <w:t>Termin lub częstość badania</w:t>
            </w:r>
          </w:p>
        </w:tc>
      </w:tr>
      <w:tr w:rsidR="00F45603" w:rsidTr="00E558D1">
        <w:tc>
          <w:tcPr>
            <w:tcW w:w="496" w:type="dxa"/>
            <w:tcBorders>
              <w:left w:val="single" w:sz="6" w:space="0" w:color="auto"/>
              <w:right w:val="single" w:sz="6" w:space="0" w:color="auto"/>
            </w:tcBorders>
          </w:tcPr>
          <w:p w:rsidR="00F45603" w:rsidRDefault="00F45603" w:rsidP="00E558D1">
            <w:pPr>
              <w:jc w:val="center"/>
            </w:pPr>
            <w:r>
              <w:t>1</w:t>
            </w:r>
          </w:p>
        </w:tc>
        <w:tc>
          <w:tcPr>
            <w:tcW w:w="2835" w:type="dxa"/>
            <w:tcBorders>
              <w:left w:val="nil"/>
              <w:bottom w:val="single" w:sz="6" w:space="0" w:color="auto"/>
              <w:right w:val="single" w:sz="6" w:space="0" w:color="auto"/>
            </w:tcBorders>
          </w:tcPr>
          <w:p w:rsidR="00F45603" w:rsidRDefault="00F45603" w:rsidP="00E558D1">
            <w:r>
              <w:t>Badania składników betonu</w:t>
            </w:r>
          </w:p>
          <w:p w:rsidR="00F45603" w:rsidRDefault="00F45603" w:rsidP="00E558D1">
            <w:r>
              <w:t>1.1. Badanie cementu</w:t>
            </w:r>
          </w:p>
          <w:p w:rsidR="00F45603" w:rsidRDefault="00F45603" w:rsidP="00E558D1">
            <w:r>
              <w:t xml:space="preserve"> - czasu wiązania</w:t>
            </w:r>
          </w:p>
          <w:p w:rsidR="00F45603" w:rsidRDefault="00F45603" w:rsidP="00E558D1">
            <w:r>
              <w:t xml:space="preserve"> - stałości objętości</w:t>
            </w:r>
          </w:p>
          <w:p w:rsidR="00F45603" w:rsidRDefault="00F45603" w:rsidP="00E558D1">
            <w:r>
              <w:t xml:space="preserve"> - obecności grudek</w:t>
            </w:r>
          </w:p>
        </w:tc>
        <w:tc>
          <w:tcPr>
            <w:tcW w:w="1783" w:type="dxa"/>
            <w:tcBorders>
              <w:left w:val="nil"/>
              <w:bottom w:val="single" w:sz="6" w:space="0" w:color="auto"/>
              <w:right w:val="single" w:sz="6" w:space="0" w:color="auto"/>
            </w:tcBorders>
          </w:tcPr>
          <w:p w:rsidR="00F45603" w:rsidRDefault="00F45603" w:rsidP="00E558D1"/>
          <w:p w:rsidR="00F45603" w:rsidRDefault="00F45603" w:rsidP="00E558D1">
            <w:pPr>
              <w:jc w:val="center"/>
            </w:pPr>
            <w:r>
              <w:t>PN-B-19701 [21]</w:t>
            </w:r>
          </w:p>
        </w:tc>
        <w:tc>
          <w:tcPr>
            <w:tcW w:w="2469" w:type="dxa"/>
            <w:tcBorders>
              <w:left w:val="nil"/>
              <w:bottom w:val="single" w:sz="6" w:space="0" w:color="auto"/>
              <w:right w:val="single" w:sz="6" w:space="0" w:color="auto"/>
            </w:tcBorders>
          </w:tcPr>
          <w:p w:rsidR="00F45603" w:rsidRDefault="00F45603" w:rsidP="00E558D1"/>
          <w:p w:rsidR="00F45603" w:rsidRDefault="00F45603" w:rsidP="00E558D1">
            <w:pPr>
              <w:jc w:val="center"/>
            </w:pPr>
            <w:r>
              <w:t>bezpośrednio przed użyciem każdej dostarczonej partii</w:t>
            </w:r>
          </w:p>
        </w:tc>
      </w:tr>
      <w:tr w:rsidR="00F45603" w:rsidTr="00E558D1">
        <w:tc>
          <w:tcPr>
            <w:tcW w:w="496" w:type="dxa"/>
            <w:tcBorders>
              <w:left w:val="single" w:sz="6" w:space="0" w:color="auto"/>
              <w:right w:val="single" w:sz="6" w:space="0" w:color="auto"/>
            </w:tcBorders>
          </w:tcPr>
          <w:p w:rsidR="00F45603" w:rsidRDefault="00F45603" w:rsidP="00E558D1"/>
        </w:tc>
        <w:tc>
          <w:tcPr>
            <w:tcW w:w="2835" w:type="dxa"/>
            <w:tcBorders>
              <w:left w:val="nil"/>
              <w:bottom w:val="single" w:sz="6" w:space="0" w:color="auto"/>
              <w:right w:val="single" w:sz="6" w:space="0" w:color="auto"/>
            </w:tcBorders>
          </w:tcPr>
          <w:p w:rsidR="00F45603" w:rsidRDefault="00F45603" w:rsidP="00E558D1">
            <w:r>
              <w:t>1.2. Badanie kruszywa</w:t>
            </w:r>
          </w:p>
          <w:p w:rsidR="00F45603" w:rsidRDefault="00F45603" w:rsidP="00E558D1">
            <w:r>
              <w:t xml:space="preserve">  - składu ziarnowego</w:t>
            </w:r>
          </w:p>
          <w:p w:rsidR="00F45603" w:rsidRDefault="00F45603" w:rsidP="00E558D1">
            <w:r>
              <w:t xml:space="preserve">  - kształtu ziarn</w:t>
            </w:r>
          </w:p>
          <w:p w:rsidR="00F45603" w:rsidRDefault="00F45603" w:rsidP="00E558D1">
            <w:r>
              <w:t xml:space="preserve">  - zawartość pyłów mineralnych</w:t>
            </w:r>
          </w:p>
          <w:p w:rsidR="00F45603" w:rsidRDefault="00F45603" w:rsidP="00E558D1">
            <w:r>
              <w:t xml:space="preserve">  - zawartości zanieczyszczeń</w:t>
            </w:r>
          </w:p>
          <w:p w:rsidR="00F45603" w:rsidRDefault="00F45603" w:rsidP="00E558D1">
            <w:r>
              <w:t xml:space="preserve">     obcych</w:t>
            </w:r>
          </w:p>
          <w:p w:rsidR="00F45603" w:rsidRDefault="00F45603" w:rsidP="00E558D1">
            <w:r>
              <w:t xml:space="preserve">  - wilgotności</w:t>
            </w:r>
          </w:p>
        </w:tc>
        <w:tc>
          <w:tcPr>
            <w:tcW w:w="1783" w:type="dxa"/>
            <w:tcBorders>
              <w:left w:val="nil"/>
              <w:bottom w:val="single" w:sz="6" w:space="0" w:color="auto"/>
              <w:right w:val="single" w:sz="6" w:space="0" w:color="auto"/>
            </w:tcBorders>
          </w:tcPr>
          <w:p w:rsidR="00F45603" w:rsidRDefault="00F45603" w:rsidP="00E558D1"/>
          <w:p w:rsidR="00F45603" w:rsidRDefault="00F45603" w:rsidP="00E558D1">
            <w:r>
              <w:t>PN-B-06714-15[15]</w:t>
            </w:r>
          </w:p>
          <w:p w:rsidR="00F45603" w:rsidRDefault="00F45603" w:rsidP="00E558D1">
            <w:r>
              <w:t>PN-B-06714-16[16]</w:t>
            </w:r>
          </w:p>
          <w:p w:rsidR="00F45603" w:rsidRDefault="00F45603" w:rsidP="00E558D1">
            <w:r>
              <w:t>PN-B-06714-13[14]</w:t>
            </w:r>
          </w:p>
          <w:p w:rsidR="00F45603" w:rsidRDefault="00F45603" w:rsidP="00E558D1"/>
          <w:p w:rsidR="00F45603" w:rsidRDefault="00F45603" w:rsidP="00E558D1">
            <w:r>
              <w:t>PN-B-06714-12[13]</w:t>
            </w:r>
          </w:p>
          <w:p w:rsidR="00F45603" w:rsidRDefault="00F45603" w:rsidP="00E558D1">
            <w:r>
              <w:t>PN-B-06714-18[17]</w:t>
            </w:r>
          </w:p>
        </w:tc>
        <w:tc>
          <w:tcPr>
            <w:tcW w:w="2469" w:type="dxa"/>
            <w:tcBorders>
              <w:left w:val="nil"/>
              <w:bottom w:val="single" w:sz="6" w:space="0" w:color="auto"/>
              <w:right w:val="single" w:sz="6" w:space="0" w:color="auto"/>
            </w:tcBorders>
          </w:tcPr>
          <w:p w:rsidR="00F45603" w:rsidRDefault="00F45603" w:rsidP="00E558D1"/>
          <w:p w:rsidR="00F45603" w:rsidRDefault="00F45603" w:rsidP="00E558D1">
            <w:pPr>
              <w:jc w:val="center"/>
            </w:pPr>
            <w:r>
              <w:t>każdej dostarczonej partii</w:t>
            </w:r>
          </w:p>
          <w:p w:rsidR="00F45603" w:rsidRDefault="00F45603" w:rsidP="00E558D1">
            <w:pPr>
              <w:jc w:val="center"/>
            </w:pPr>
            <w:r>
              <w:t>każdej dostarczonej partii</w:t>
            </w:r>
          </w:p>
          <w:p w:rsidR="00F45603" w:rsidRDefault="00F45603" w:rsidP="00E558D1">
            <w:pPr>
              <w:jc w:val="center"/>
            </w:pPr>
            <w:r>
              <w:t>każdej dostarczonej partii</w:t>
            </w:r>
          </w:p>
          <w:p w:rsidR="00F45603" w:rsidRDefault="00F45603" w:rsidP="00E558D1">
            <w:pPr>
              <w:jc w:val="center"/>
            </w:pPr>
          </w:p>
          <w:p w:rsidR="00F45603" w:rsidRDefault="00F45603" w:rsidP="00E558D1">
            <w:pPr>
              <w:jc w:val="center"/>
            </w:pPr>
            <w:r>
              <w:t>każdej dostarczonej partii</w:t>
            </w:r>
          </w:p>
          <w:p w:rsidR="00F45603" w:rsidRDefault="00F45603" w:rsidP="00E558D1">
            <w:r>
              <w:t>bezpośrednio przed użyciem</w:t>
            </w:r>
          </w:p>
        </w:tc>
      </w:tr>
      <w:tr w:rsidR="00F45603" w:rsidTr="00E558D1">
        <w:tc>
          <w:tcPr>
            <w:tcW w:w="496" w:type="dxa"/>
            <w:tcBorders>
              <w:left w:val="single" w:sz="6" w:space="0" w:color="auto"/>
              <w:right w:val="single" w:sz="6" w:space="0" w:color="auto"/>
            </w:tcBorders>
          </w:tcPr>
          <w:p w:rsidR="00F45603" w:rsidRDefault="00F45603" w:rsidP="00E558D1"/>
        </w:tc>
        <w:tc>
          <w:tcPr>
            <w:tcW w:w="2835" w:type="dxa"/>
            <w:tcBorders>
              <w:left w:val="nil"/>
              <w:bottom w:val="single" w:sz="6" w:space="0" w:color="auto"/>
              <w:right w:val="single" w:sz="6" w:space="0" w:color="auto"/>
            </w:tcBorders>
          </w:tcPr>
          <w:p w:rsidR="00F45603" w:rsidRDefault="00F45603" w:rsidP="00E558D1"/>
          <w:p w:rsidR="00F45603" w:rsidRDefault="00F45603" w:rsidP="00E558D1">
            <w:r>
              <w:t>1.3. Badanie wody</w:t>
            </w:r>
          </w:p>
        </w:tc>
        <w:tc>
          <w:tcPr>
            <w:tcW w:w="1783" w:type="dxa"/>
            <w:tcBorders>
              <w:left w:val="nil"/>
              <w:right w:val="single" w:sz="6" w:space="0" w:color="auto"/>
            </w:tcBorders>
          </w:tcPr>
          <w:p w:rsidR="00F45603" w:rsidRDefault="00F45603" w:rsidP="00E558D1">
            <w:pPr>
              <w:jc w:val="center"/>
            </w:pPr>
          </w:p>
          <w:p w:rsidR="00F45603" w:rsidRDefault="00F45603" w:rsidP="00E558D1">
            <w:pPr>
              <w:jc w:val="center"/>
            </w:pPr>
            <w:r>
              <w:t>PN-B-32250 [24]</w:t>
            </w:r>
          </w:p>
        </w:tc>
        <w:tc>
          <w:tcPr>
            <w:tcW w:w="2469" w:type="dxa"/>
            <w:tcBorders>
              <w:left w:val="nil"/>
              <w:right w:val="single" w:sz="6" w:space="0" w:color="auto"/>
            </w:tcBorders>
          </w:tcPr>
          <w:p w:rsidR="00F45603" w:rsidRDefault="00F45603" w:rsidP="00E558D1">
            <w:pPr>
              <w:jc w:val="center"/>
            </w:pPr>
            <w:r>
              <w:t>przy rozpoczęciu robót oraz w przypadku stwierdzenia zanieczyszczeń</w:t>
            </w:r>
          </w:p>
        </w:tc>
      </w:tr>
      <w:tr w:rsidR="00F45603" w:rsidTr="00E558D1">
        <w:tc>
          <w:tcPr>
            <w:tcW w:w="496" w:type="dxa"/>
            <w:tcBorders>
              <w:left w:val="single" w:sz="6" w:space="0" w:color="auto"/>
              <w:bottom w:val="single" w:sz="6" w:space="0" w:color="auto"/>
            </w:tcBorders>
          </w:tcPr>
          <w:p w:rsidR="00F45603" w:rsidRDefault="00F45603" w:rsidP="00E558D1">
            <w:r>
              <w:tab/>
            </w:r>
          </w:p>
        </w:tc>
        <w:tc>
          <w:tcPr>
            <w:tcW w:w="2835" w:type="dxa"/>
            <w:tcBorders>
              <w:top w:val="single" w:sz="6" w:space="0" w:color="auto"/>
              <w:left w:val="single" w:sz="6" w:space="0" w:color="auto"/>
              <w:bottom w:val="single" w:sz="6" w:space="0" w:color="auto"/>
            </w:tcBorders>
          </w:tcPr>
          <w:p w:rsidR="00F45603" w:rsidRDefault="00F45603" w:rsidP="00E558D1">
            <w:r>
              <w:t xml:space="preserve">1.4. Badanie dodatków </w:t>
            </w:r>
          </w:p>
          <w:p w:rsidR="00F45603" w:rsidRDefault="00F45603" w:rsidP="00E558D1">
            <w:r>
              <w:t xml:space="preserve">      i domieszek</w:t>
            </w:r>
          </w:p>
        </w:tc>
        <w:tc>
          <w:tcPr>
            <w:tcW w:w="4252" w:type="dxa"/>
            <w:gridSpan w:val="2"/>
            <w:tcBorders>
              <w:top w:val="single" w:sz="6" w:space="0" w:color="auto"/>
              <w:left w:val="single" w:sz="6" w:space="0" w:color="auto"/>
              <w:right w:val="single" w:sz="6" w:space="0" w:color="auto"/>
            </w:tcBorders>
          </w:tcPr>
          <w:p w:rsidR="00F45603" w:rsidRDefault="00F45603" w:rsidP="00E558D1">
            <w:pPr>
              <w:spacing w:before="120"/>
              <w:jc w:val="center"/>
            </w:pPr>
            <w:r>
              <w:t>Instrukcja ITB 206/77 [43]</w:t>
            </w:r>
          </w:p>
        </w:tc>
      </w:tr>
      <w:tr w:rsidR="00F45603" w:rsidTr="00E558D1">
        <w:tc>
          <w:tcPr>
            <w:tcW w:w="496" w:type="dxa"/>
            <w:tcBorders>
              <w:top w:val="single" w:sz="6" w:space="0" w:color="auto"/>
              <w:left w:val="single" w:sz="6" w:space="0" w:color="auto"/>
              <w:bottom w:val="single" w:sz="6" w:space="0" w:color="auto"/>
            </w:tcBorders>
          </w:tcPr>
          <w:p w:rsidR="00F45603" w:rsidRDefault="00F45603" w:rsidP="00E558D1">
            <w:pPr>
              <w:jc w:val="center"/>
            </w:pPr>
            <w:r>
              <w:t>2</w:t>
            </w:r>
          </w:p>
        </w:tc>
        <w:tc>
          <w:tcPr>
            <w:tcW w:w="2835" w:type="dxa"/>
            <w:tcBorders>
              <w:top w:val="single" w:sz="6" w:space="0" w:color="auto"/>
              <w:left w:val="single" w:sz="6" w:space="0" w:color="auto"/>
              <w:bottom w:val="single" w:sz="6" w:space="0" w:color="auto"/>
            </w:tcBorders>
          </w:tcPr>
          <w:p w:rsidR="00F45603" w:rsidRDefault="00F45603" w:rsidP="00E558D1">
            <w:r>
              <w:t>Badania mieszanki betonowej</w:t>
            </w:r>
          </w:p>
          <w:p w:rsidR="00F45603" w:rsidRDefault="00F45603" w:rsidP="00E558D1">
            <w:r>
              <w:t>- urabialności</w:t>
            </w:r>
          </w:p>
          <w:p w:rsidR="00F45603" w:rsidRDefault="00F45603" w:rsidP="00E558D1">
            <w:r>
              <w:lastRenderedPageBreak/>
              <w:t>- konsystencji</w:t>
            </w:r>
          </w:p>
          <w:p w:rsidR="00F45603" w:rsidRDefault="00F45603" w:rsidP="00E558D1"/>
          <w:p w:rsidR="00F45603" w:rsidRDefault="00F45603" w:rsidP="00E558D1">
            <w:r>
              <w:t xml:space="preserve">- zawartości powietrza w     </w:t>
            </w:r>
          </w:p>
          <w:p w:rsidR="00F45603" w:rsidRDefault="00F45603" w:rsidP="00E558D1">
            <w:r>
              <w:t xml:space="preserve">   mieszance betonowej</w:t>
            </w:r>
          </w:p>
        </w:tc>
        <w:tc>
          <w:tcPr>
            <w:tcW w:w="1783" w:type="dxa"/>
            <w:tcBorders>
              <w:top w:val="single" w:sz="6" w:space="0" w:color="auto"/>
              <w:left w:val="single" w:sz="6" w:space="0" w:color="auto"/>
              <w:bottom w:val="single" w:sz="6" w:space="0" w:color="auto"/>
            </w:tcBorders>
          </w:tcPr>
          <w:p w:rsidR="00F45603" w:rsidRDefault="00F45603" w:rsidP="00E558D1"/>
          <w:p w:rsidR="00F45603" w:rsidRDefault="00F45603" w:rsidP="00E558D1">
            <w:pPr>
              <w:jc w:val="center"/>
            </w:pPr>
          </w:p>
          <w:p w:rsidR="00F45603" w:rsidRDefault="00F45603" w:rsidP="00E558D1">
            <w:pPr>
              <w:jc w:val="center"/>
            </w:pPr>
            <w:r>
              <w:lastRenderedPageBreak/>
              <w:t>PN-88/B-06250 [8]</w:t>
            </w:r>
          </w:p>
        </w:tc>
        <w:tc>
          <w:tcPr>
            <w:tcW w:w="2469" w:type="dxa"/>
            <w:tcBorders>
              <w:top w:val="single" w:sz="6" w:space="0" w:color="auto"/>
              <w:left w:val="single" w:sz="6" w:space="0" w:color="auto"/>
              <w:bottom w:val="single" w:sz="6" w:space="0" w:color="auto"/>
              <w:right w:val="single" w:sz="6" w:space="0" w:color="auto"/>
            </w:tcBorders>
          </w:tcPr>
          <w:p w:rsidR="00F45603" w:rsidRDefault="00F45603" w:rsidP="00E558D1"/>
          <w:p w:rsidR="00F45603" w:rsidRDefault="00F45603" w:rsidP="00E558D1">
            <w:r>
              <w:t>przy rozpoczęciu robót</w:t>
            </w:r>
          </w:p>
          <w:p w:rsidR="00F45603" w:rsidRDefault="00F45603" w:rsidP="00E558D1">
            <w:r>
              <w:lastRenderedPageBreak/>
              <w:t>przy proj.recepty i 2 razy na</w:t>
            </w:r>
          </w:p>
          <w:p w:rsidR="00F45603" w:rsidRDefault="00F45603" w:rsidP="00E558D1">
            <w:r>
              <w:t>zmianę roboczą</w:t>
            </w:r>
          </w:p>
          <w:p w:rsidR="00F45603" w:rsidRDefault="00F45603" w:rsidP="00E558D1">
            <w:r>
              <w:t>przy ustalaniu recepty oraz 2 razy na zmianę roboczą</w:t>
            </w:r>
          </w:p>
        </w:tc>
      </w:tr>
      <w:tr w:rsidR="00F45603" w:rsidTr="00E558D1">
        <w:tc>
          <w:tcPr>
            <w:tcW w:w="496" w:type="dxa"/>
            <w:tcBorders>
              <w:top w:val="single" w:sz="6" w:space="0" w:color="auto"/>
              <w:left w:val="single" w:sz="6" w:space="0" w:color="auto"/>
            </w:tcBorders>
          </w:tcPr>
          <w:p w:rsidR="00F45603" w:rsidRDefault="00F45603" w:rsidP="00E558D1">
            <w:pPr>
              <w:jc w:val="center"/>
            </w:pPr>
            <w:r>
              <w:lastRenderedPageBreak/>
              <w:t>3</w:t>
            </w:r>
          </w:p>
        </w:tc>
        <w:tc>
          <w:tcPr>
            <w:tcW w:w="2835" w:type="dxa"/>
            <w:tcBorders>
              <w:top w:val="single" w:sz="6" w:space="0" w:color="auto"/>
              <w:left w:val="single" w:sz="6" w:space="0" w:color="auto"/>
              <w:bottom w:val="single" w:sz="6" w:space="0" w:color="auto"/>
              <w:right w:val="single" w:sz="6" w:space="0" w:color="auto"/>
            </w:tcBorders>
          </w:tcPr>
          <w:p w:rsidR="00F45603" w:rsidRDefault="00F45603" w:rsidP="00E558D1">
            <w:r>
              <w:t>Badania betonu</w:t>
            </w:r>
          </w:p>
          <w:p w:rsidR="00F45603" w:rsidRDefault="00F45603" w:rsidP="00E558D1">
            <w:r>
              <w:t>3.1. Badanie wytrzymałości</w:t>
            </w:r>
          </w:p>
          <w:p w:rsidR="00F45603" w:rsidRDefault="00F45603" w:rsidP="00E558D1">
            <w:r>
              <w:t xml:space="preserve">       na ściskanie na próbkach    </w:t>
            </w:r>
          </w:p>
        </w:tc>
        <w:tc>
          <w:tcPr>
            <w:tcW w:w="1783" w:type="dxa"/>
            <w:tcBorders>
              <w:top w:val="single" w:sz="6" w:space="0" w:color="auto"/>
              <w:left w:val="nil"/>
              <w:bottom w:val="single" w:sz="6" w:space="0" w:color="auto"/>
              <w:right w:val="single" w:sz="6" w:space="0" w:color="auto"/>
            </w:tcBorders>
          </w:tcPr>
          <w:p w:rsidR="00F45603" w:rsidRDefault="00F45603" w:rsidP="00E558D1"/>
          <w:p w:rsidR="00F45603" w:rsidRDefault="00F45603" w:rsidP="00E558D1">
            <w:pPr>
              <w:jc w:val="center"/>
            </w:pPr>
            <w:r>
              <w:t>PN-88/B-06250 [8]</w:t>
            </w:r>
          </w:p>
        </w:tc>
        <w:tc>
          <w:tcPr>
            <w:tcW w:w="2469" w:type="dxa"/>
            <w:tcBorders>
              <w:top w:val="single" w:sz="6" w:space="0" w:color="auto"/>
              <w:left w:val="nil"/>
              <w:bottom w:val="single" w:sz="6" w:space="0" w:color="auto"/>
              <w:right w:val="single" w:sz="6" w:space="0" w:color="auto"/>
            </w:tcBorders>
          </w:tcPr>
          <w:p w:rsidR="00F45603" w:rsidRDefault="00F45603" w:rsidP="00E558D1">
            <w:r>
              <w:t>przy ustalaniu recepty oraz po wykonaniu każdej partii</w:t>
            </w:r>
          </w:p>
          <w:p w:rsidR="00F45603" w:rsidRDefault="00F45603" w:rsidP="00E558D1">
            <w:r>
              <w:t>betonu</w:t>
            </w:r>
          </w:p>
        </w:tc>
      </w:tr>
      <w:tr w:rsidR="00F45603" w:rsidTr="00E558D1">
        <w:tc>
          <w:tcPr>
            <w:tcW w:w="496" w:type="dxa"/>
            <w:tcBorders>
              <w:left w:val="single" w:sz="6" w:space="0" w:color="auto"/>
              <w:right w:val="single" w:sz="6" w:space="0" w:color="auto"/>
            </w:tcBorders>
          </w:tcPr>
          <w:p w:rsidR="00F45603" w:rsidRDefault="00F45603" w:rsidP="00E558D1"/>
        </w:tc>
        <w:tc>
          <w:tcPr>
            <w:tcW w:w="2835" w:type="dxa"/>
            <w:tcBorders>
              <w:left w:val="nil"/>
              <w:bottom w:val="single" w:sz="6" w:space="0" w:color="auto"/>
              <w:right w:val="single" w:sz="6" w:space="0" w:color="auto"/>
            </w:tcBorders>
          </w:tcPr>
          <w:p w:rsidR="00F45603" w:rsidRDefault="00F45603" w:rsidP="00E558D1">
            <w:r>
              <w:t>3.2. Badania nieniszczące</w:t>
            </w:r>
          </w:p>
          <w:p w:rsidR="00F45603" w:rsidRDefault="00F45603" w:rsidP="00E558D1">
            <w:r>
              <w:t xml:space="preserve">      betonu w konstrukcji</w:t>
            </w:r>
          </w:p>
        </w:tc>
        <w:tc>
          <w:tcPr>
            <w:tcW w:w="1783" w:type="dxa"/>
            <w:tcBorders>
              <w:left w:val="nil"/>
              <w:bottom w:val="single" w:sz="6" w:space="0" w:color="auto"/>
              <w:right w:val="single" w:sz="6" w:space="0" w:color="auto"/>
            </w:tcBorders>
          </w:tcPr>
          <w:p w:rsidR="00F45603" w:rsidRDefault="00F45603" w:rsidP="00E558D1">
            <w:pPr>
              <w:jc w:val="center"/>
            </w:pPr>
            <w:r>
              <w:t>PN-B-06261 [10]</w:t>
            </w:r>
          </w:p>
          <w:p w:rsidR="00F45603" w:rsidRDefault="00F45603" w:rsidP="00E558D1">
            <w:pPr>
              <w:jc w:val="center"/>
            </w:pPr>
            <w:r>
              <w:t>PN-B-06262 [11]</w:t>
            </w:r>
          </w:p>
        </w:tc>
        <w:tc>
          <w:tcPr>
            <w:tcW w:w="2469" w:type="dxa"/>
            <w:tcBorders>
              <w:left w:val="nil"/>
              <w:bottom w:val="single" w:sz="6" w:space="0" w:color="auto"/>
              <w:right w:val="single" w:sz="6" w:space="0" w:color="auto"/>
            </w:tcBorders>
          </w:tcPr>
          <w:p w:rsidR="00F45603" w:rsidRDefault="00F45603" w:rsidP="00E558D1">
            <w:r>
              <w:t>w przypadkach technicznie uzasadnionych</w:t>
            </w:r>
          </w:p>
        </w:tc>
      </w:tr>
      <w:tr w:rsidR="00F45603" w:rsidTr="00E558D1">
        <w:tc>
          <w:tcPr>
            <w:tcW w:w="496" w:type="dxa"/>
            <w:tcBorders>
              <w:left w:val="single" w:sz="6" w:space="0" w:color="auto"/>
            </w:tcBorders>
          </w:tcPr>
          <w:p w:rsidR="00F45603" w:rsidRDefault="00F45603" w:rsidP="00E558D1"/>
        </w:tc>
        <w:tc>
          <w:tcPr>
            <w:tcW w:w="2835" w:type="dxa"/>
            <w:tcBorders>
              <w:left w:val="single" w:sz="6" w:space="0" w:color="auto"/>
              <w:bottom w:val="single" w:sz="6" w:space="0" w:color="auto"/>
            </w:tcBorders>
          </w:tcPr>
          <w:p w:rsidR="00F45603" w:rsidRDefault="00F45603" w:rsidP="00E558D1"/>
          <w:p w:rsidR="00F45603" w:rsidRDefault="00F45603" w:rsidP="00E558D1">
            <w:r>
              <w:t>3.3. Badanie nasiąkliwości</w:t>
            </w:r>
          </w:p>
        </w:tc>
        <w:tc>
          <w:tcPr>
            <w:tcW w:w="1783" w:type="dxa"/>
            <w:tcBorders>
              <w:left w:val="single" w:sz="6" w:space="0" w:color="auto"/>
              <w:bottom w:val="single" w:sz="6" w:space="0" w:color="auto"/>
            </w:tcBorders>
          </w:tcPr>
          <w:p w:rsidR="00F45603" w:rsidRDefault="00F45603" w:rsidP="00E558D1"/>
          <w:p w:rsidR="00F45603" w:rsidRDefault="00F45603" w:rsidP="00E558D1">
            <w:pPr>
              <w:jc w:val="center"/>
            </w:pPr>
            <w:r>
              <w:t>PN-B-06250 [8]</w:t>
            </w:r>
          </w:p>
        </w:tc>
        <w:tc>
          <w:tcPr>
            <w:tcW w:w="2469" w:type="dxa"/>
            <w:tcBorders>
              <w:left w:val="single" w:sz="6" w:space="0" w:color="auto"/>
              <w:bottom w:val="single" w:sz="6" w:space="0" w:color="auto"/>
              <w:right w:val="single" w:sz="6" w:space="0" w:color="auto"/>
            </w:tcBorders>
          </w:tcPr>
          <w:p w:rsidR="00F45603" w:rsidRDefault="00F45603" w:rsidP="00E558D1">
            <w:r>
              <w:t>przy ustalaniu recepty,3 razy w czasie wykonywania konstrukcji ale nie rzadziej niż raz na 5000m</w:t>
            </w:r>
            <w:r>
              <w:rPr>
                <w:vertAlign w:val="superscript"/>
              </w:rPr>
              <w:t>3</w:t>
            </w:r>
            <w:r>
              <w:t xml:space="preserve"> betonu</w:t>
            </w:r>
          </w:p>
        </w:tc>
      </w:tr>
      <w:tr w:rsidR="00F45603" w:rsidTr="00E558D1">
        <w:tc>
          <w:tcPr>
            <w:tcW w:w="496" w:type="dxa"/>
            <w:tcBorders>
              <w:left w:val="single" w:sz="6" w:space="0" w:color="auto"/>
              <w:right w:val="single" w:sz="6" w:space="0" w:color="auto"/>
            </w:tcBorders>
          </w:tcPr>
          <w:p w:rsidR="00F45603" w:rsidRDefault="00F45603" w:rsidP="00E558D1"/>
        </w:tc>
        <w:tc>
          <w:tcPr>
            <w:tcW w:w="2835" w:type="dxa"/>
            <w:tcBorders>
              <w:left w:val="nil"/>
              <w:bottom w:val="single" w:sz="6" w:space="0" w:color="auto"/>
              <w:right w:val="single" w:sz="6" w:space="0" w:color="auto"/>
            </w:tcBorders>
          </w:tcPr>
          <w:p w:rsidR="00F45603" w:rsidRDefault="00F45603" w:rsidP="00E558D1"/>
          <w:p w:rsidR="00F45603" w:rsidRDefault="00F45603" w:rsidP="00E558D1">
            <w:r>
              <w:t>3.4. Badanie odporności na</w:t>
            </w:r>
          </w:p>
          <w:p w:rsidR="00F45603" w:rsidRDefault="00F45603" w:rsidP="00E558D1">
            <w:r>
              <w:t xml:space="preserve">      działanie mrozu</w:t>
            </w:r>
          </w:p>
        </w:tc>
        <w:tc>
          <w:tcPr>
            <w:tcW w:w="1783" w:type="dxa"/>
            <w:tcBorders>
              <w:left w:val="nil"/>
              <w:right w:val="single" w:sz="6" w:space="0" w:color="auto"/>
            </w:tcBorders>
          </w:tcPr>
          <w:p w:rsidR="00F45603" w:rsidRDefault="00F45603" w:rsidP="00E558D1"/>
          <w:p w:rsidR="00F45603" w:rsidRDefault="00F45603" w:rsidP="00E558D1">
            <w:pPr>
              <w:jc w:val="center"/>
            </w:pPr>
          </w:p>
          <w:p w:rsidR="00F45603" w:rsidRDefault="00F45603" w:rsidP="00E558D1">
            <w:pPr>
              <w:jc w:val="center"/>
            </w:pPr>
          </w:p>
          <w:p w:rsidR="00F45603" w:rsidRDefault="00F45603" w:rsidP="00E558D1">
            <w:pPr>
              <w:jc w:val="center"/>
            </w:pPr>
            <w:r>
              <w:t>PN-B-06250 [8]</w:t>
            </w:r>
          </w:p>
        </w:tc>
        <w:tc>
          <w:tcPr>
            <w:tcW w:w="2469" w:type="dxa"/>
            <w:tcBorders>
              <w:left w:val="nil"/>
              <w:bottom w:val="single" w:sz="6" w:space="0" w:color="auto"/>
              <w:right w:val="single" w:sz="6" w:space="0" w:color="auto"/>
            </w:tcBorders>
          </w:tcPr>
          <w:p w:rsidR="00F45603" w:rsidRDefault="00F45603" w:rsidP="00E558D1">
            <w:r>
              <w:t xml:space="preserve">przy ustalaniu recepty 2 razy w czasie wykonywania konstrukcji, ale nie rzadziej niż raz na </w:t>
            </w:r>
            <w:smartTag w:uri="urn:schemas-microsoft-com:office:smarttags" w:element="metricconverter">
              <w:smartTagPr>
                <w:attr w:name="productid" w:val="5000 m3"/>
              </w:smartTagPr>
              <w:r>
                <w:t>5000 m</w:t>
              </w:r>
              <w:r>
                <w:rPr>
                  <w:vertAlign w:val="superscript"/>
                </w:rPr>
                <w:t>3</w:t>
              </w:r>
            </w:smartTag>
            <w:r>
              <w:t xml:space="preserve"> betonu</w:t>
            </w:r>
          </w:p>
        </w:tc>
      </w:tr>
      <w:tr w:rsidR="00F45603" w:rsidTr="00E558D1">
        <w:tc>
          <w:tcPr>
            <w:tcW w:w="496" w:type="dxa"/>
            <w:tcBorders>
              <w:left w:val="single" w:sz="6" w:space="0" w:color="auto"/>
              <w:bottom w:val="single" w:sz="6" w:space="0" w:color="auto"/>
              <w:right w:val="single" w:sz="6" w:space="0" w:color="auto"/>
            </w:tcBorders>
          </w:tcPr>
          <w:p w:rsidR="00F45603" w:rsidRDefault="00F45603" w:rsidP="00E558D1"/>
        </w:tc>
        <w:tc>
          <w:tcPr>
            <w:tcW w:w="2835" w:type="dxa"/>
            <w:tcBorders>
              <w:left w:val="nil"/>
              <w:bottom w:val="single" w:sz="6" w:space="0" w:color="auto"/>
              <w:right w:val="single" w:sz="6" w:space="0" w:color="auto"/>
            </w:tcBorders>
          </w:tcPr>
          <w:p w:rsidR="00F45603" w:rsidRDefault="00F45603" w:rsidP="00E558D1"/>
          <w:p w:rsidR="00F45603" w:rsidRDefault="00F45603" w:rsidP="00E558D1">
            <w:r>
              <w:t>3.5. Badanie przepuszczalności</w:t>
            </w:r>
          </w:p>
          <w:p w:rsidR="00F45603" w:rsidRDefault="00F45603" w:rsidP="00E558D1">
            <w:r>
              <w:t xml:space="preserve">       wody</w:t>
            </w:r>
          </w:p>
        </w:tc>
        <w:tc>
          <w:tcPr>
            <w:tcW w:w="1783" w:type="dxa"/>
            <w:tcBorders>
              <w:left w:val="nil"/>
              <w:bottom w:val="single" w:sz="6" w:space="0" w:color="auto"/>
              <w:right w:val="single" w:sz="6" w:space="0" w:color="auto"/>
            </w:tcBorders>
          </w:tcPr>
          <w:p w:rsidR="00F45603" w:rsidRDefault="00F45603" w:rsidP="00E558D1"/>
        </w:tc>
        <w:tc>
          <w:tcPr>
            <w:tcW w:w="2469" w:type="dxa"/>
            <w:tcBorders>
              <w:left w:val="nil"/>
              <w:bottom w:val="single" w:sz="6" w:space="0" w:color="auto"/>
              <w:right w:val="single" w:sz="6" w:space="0" w:color="auto"/>
            </w:tcBorders>
          </w:tcPr>
          <w:p w:rsidR="00F45603" w:rsidRDefault="00F45603" w:rsidP="00E558D1">
            <w:r>
              <w:t xml:space="preserve">przy ustalaniu recepty,3 razy w czasie wykonywania konstrukcji ale nie rzadziej niż raz na </w:t>
            </w:r>
            <w:smartTag w:uri="urn:schemas-microsoft-com:office:smarttags" w:element="metricconverter">
              <w:smartTagPr>
                <w:attr w:name="productid" w:val="5000 m3"/>
              </w:smartTagPr>
              <w:r>
                <w:t>5000 m</w:t>
              </w:r>
              <w:r>
                <w:rPr>
                  <w:vertAlign w:val="superscript"/>
                </w:rPr>
                <w:t>3</w:t>
              </w:r>
            </w:smartTag>
            <w:r>
              <w:t xml:space="preserve"> betonu</w:t>
            </w:r>
          </w:p>
        </w:tc>
      </w:tr>
    </w:tbl>
    <w:p w:rsidR="00F45603" w:rsidRDefault="00F45603" w:rsidP="00F45603">
      <w:pPr>
        <w:pStyle w:val="Nagwek2"/>
      </w:pPr>
      <w:r>
        <w:t>6.4. Kontrola wykonania ścianki czołowej z kamienia łamanego</w:t>
      </w:r>
    </w:p>
    <w:p w:rsidR="00F45603" w:rsidRDefault="00F45603" w:rsidP="00F45603">
      <w:r>
        <w:tab/>
        <w:t>Przy wykonywaniu ścianki czołowej z kamienia należy przeprowadzić badania zgodnie z BN-74/8841-19 [41] obejmujące:</w:t>
      </w:r>
    </w:p>
    <w:p w:rsidR="00F45603" w:rsidRDefault="00F45603" w:rsidP="00B4292E">
      <w:pPr>
        <w:numPr>
          <w:ilvl w:val="0"/>
          <w:numId w:val="53"/>
        </w:numPr>
        <w:overflowPunct w:val="0"/>
        <w:autoSpaceDE w:val="0"/>
        <w:autoSpaceDN w:val="0"/>
        <w:adjustRightInd w:val="0"/>
        <w:spacing w:after="0" w:line="240" w:lineRule="auto"/>
        <w:jc w:val="both"/>
        <w:textAlignment w:val="baseline"/>
      </w:pPr>
      <w:r>
        <w:t>sprawdzenie prawidłowości ułożenia i wiązania kamieni w ściance - przez oględziny,</w:t>
      </w:r>
    </w:p>
    <w:p w:rsidR="00F45603" w:rsidRDefault="00F45603" w:rsidP="00B4292E">
      <w:pPr>
        <w:numPr>
          <w:ilvl w:val="0"/>
          <w:numId w:val="53"/>
        </w:numPr>
        <w:overflowPunct w:val="0"/>
        <w:autoSpaceDE w:val="0"/>
        <w:autoSpaceDN w:val="0"/>
        <w:adjustRightInd w:val="0"/>
        <w:spacing w:after="0" w:line="240" w:lineRule="auto"/>
        <w:jc w:val="both"/>
        <w:textAlignment w:val="baseline"/>
      </w:pPr>
      <w:r>
        <w:t xml:space="preserve">sprawdzenie grubości ścianki, z zastosowaniem dopuszczalnej odchyłki w grubości do        </w:t>
      </w:r>
      <w:r>
        <w:sym w:font="Symbol" w:char="F0B1"/>
      </w:r>
      <w:r>
        <w:t xml:space="preserve"> </w:t>
      </w:r>
      <w:smartTag w:uri="urn:schemas-microsoft-com:office:smarttags" w:element="metricconverter">
        <w:smartTagPr>
          <w:attr w:name="productid" w:val="20 mm"/>
        </w:smartTagPr>
        <w:r>
          <w:t>20 mm</w:t>
        </w:r>
      </w:smartTag>
      <w:r>
        <w:t>,</w:t>
      </w:r>
    </w:p>
    <w:p w:rsidR="00F45603" w:rsidRDefault="00F45603" w:rsidP="00B4292E">
      <w:pPr>
        <w:numPr>
          <w:ilvl w:val="0"/>
          <w:numId w:val="53"/>
        </w:numPr>
        <w:overflowPunct w:val="0"/>
        <w:autoSpaceDE w:val="0"/>
        <w:autoSpaceDN w:val="0"/>
        <w:adjustRightInd w:val="0"/>
        <w:spacing w:after="0" w:line="240" w:lineRule="auto"/>
        <w:jc w:val="both"/>
        <w:textAlignment w:val="baseline"/>
      </w:pPr>
      <w:r>
        <w:t>sprawdzenie grubości spoin, z zachowaniem dopuszczalnej odchyłki, dla:</w:t>
      </w:r>
    </w:p>
    <w:p w:rsidR="00F45603" w:rsidRDefault="00F45603" w:rsidP="00F45603">
      <w:r>
        <w:t xml:space="preserve">      - spoin pionowych: </w:t>
      </w:r>
      <w:smartTag w:uri="urn:schemas-microsoft-com:office:smarttags" w:element="metricconverter">
        <w:smartTagPr>
          <w:attr w:name="productid" w:val="12 mm"/>
        </w:smartTagPr>
        <w:r>
          <w:t>12 mm</w:t>
        </w:r>
      </w:smartTag>
      <w:r>
        <w:t xml:space="preserve">  + </w:t>
      </w:r>
      <w:smartTag w:uri="urn:schemas-microsoft-com:office:smarttags" w:element="metricconverter">
        <w:smartTagPr>
          <w:attr w:name="productid" w:val="8 mm"/>
        </w:smartTagPr>
        <w:r>
          <w:t>8 mm</w:t>
        </w:r>
      </w:smartTag>
      <w:r>
        <w:t xml:space="preserve"> lub - </w:t>
      </w:r>
      <w:smartTag w:uri="urn:schemas-microsoft-com:office:smarttags" w:element="metricconverter">
        <w:smartTagPr>
          <w:attr w:name="productid" w:val="4 mm"/>
        </w:smartTagPr>
        <w:r>
          <w:t>4 mm</w:t>
        </w:r>
      </w:smartTag>
      <w:r>
        <w:t>,</w:t>
      </w:r>
    </w:p>
    <w:p w:rsidR="00F45603" w:rsidRDefault="00F45603" w:rsidP="00F45603">
      <w:r>
        <w:t xml:space="preserve">      - spoin poziomych: </w:t>
      </w:r>
      <w:smartTag w:uri="urn:schemas-microsoft-com:office:smarttags" w:element="metricconverter">
        <w:smartTagPr>
          <w:attr w:name="productid" w:val="10 mm"/>
        </w:smartTagPr>
        <w:r>
          <w:t>10 mm</w:t>
        </w:r>
      </w:smartTag>
      <w:r>
        <w:t xml:space="preserve">  + </w:t>
      </w:r>
      <w:smartTag w:uri="urn:schemas-microsoft-com:office:smarttags" w:element="metricconverter">
        <w:smartTagPr>
          <w:attr w:name="productid" w:val="10 mm"/>
        </w:smartTagPr>
        <w:r>
          <w:t>10 mm</w:t>
        </w:r>
      </w:smartTag>
      <w:r>
        <w:t xml:space="preserve"> lub - </w:t>
      </w:r>
      <w:smartTag w:uri="urn:schemas-microsoft-com:office:smarttags" w:element="metricconverter">
        <w:smartTagPr>
          <w:attr w:name="productid" w:val="5 mm"/>
        </w:smartTagPr>
        <w:r>
          <w:t>5 mm</w:t>
        </w:r>
      </w:smartTag>
      <w:r>
        <w:t>,</w:t>
      </w:r>
    </w:p>
    <w:p w:rsidR="00F45603" w:rsidRDefault="00F45603" w:rsidP="00B4292E">
      <w:pPr>
        <w:numPr>
          <w:ilvl w:val="0"/>
          <w:numId w:val="54"/>
        </w:numPr>
        <w:overflowPunct w:val="0"/>
        <w:autoSpaceDE w:val="0"/>
        <w:autoSpaceDN w:val="0"/>
        <w:adjustRightInd w:val="0"/>
        <w:spacing w:after="0" w:line="240" w:lineRule="auto"/>
        <w:jc w:val="both"/>
        <w:textAlignment w:val="baseline"/>
      </w:pPr>
      <w:r>
        <w:t>sprawdzenie prawidłowości wykonania powierzchni i krawędzi ścianki:</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zwichrowanie i skrzywienie powierzchni ścianki: co najwyżej 15 mm/m,</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odchylenie krawędzi od linii prostej: co najwyżej 6 mm/m i najwyżej dwa odchylenia       na </w:t>
      </w:r>
      <w:smartTag w:uri="urn:schemas-microsoft-com:office:smarttags" w:element="metricconverter">
        <w:smartTagPr>
          <w:attr w:name="productid" w:val="2 m"/>
        </w:smartTagPr>
        <w:r>
          <w:t>2 m</w:t>
        </w:r>
      </w:smartTag>
      <w:r>
        <w:t>,</w:t>
      </w:r>
    </w:p>
    <w:p w:rsidR="00F45603" w:rsidRDefault="00F45603" w:rsidP="00F45603">
      <w:pPr>
        <w:numPr>
          <w:ilvl w:val="0"/>
          <w:numId w:val="5"/>
        </w:numPr>
        <w:overflowPunct w:val="0"/>
        <w:autoSpaceDE w:val="0"/>
        <w:autoSpaceDN w:val="0"/>
        <w:adjustRightInd w:val="0"/>
        <w:spacing w:after="0" w:line="240" w:lineRule="auto"/>
        <w:jc w:val="both"/>
        <w:textAlignment w:val="baseline"/>
      </w:pPr>
      <w:r>
        <w:lastRenderedPageBreak/>
        <w:t xml:space="preserve">odchylenia powierzchni i krawędzi od kierunku pionowego: co najwyżej 6 mm/m i            </w:t>
      </w:r>
      <w:smartTag w:uri="urn:schemas-microsoft-com:office:smarttags" w:element="metricconverter">
        <w:smartTagPr>
          <w:attr w:name="productid" w:val="40 mm"/>
        </w:smartTagPr>
        <w:r>
          <w:t>40 mm</w:t>
        </w:r>
      </w:smartTag>
      <w:r>
        <w:t xml:space="preserve"> na całej wysokości,</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odchylenia górnych powierzchni każdej warstwy kamieni od kierunku poziomego (jeśli mur ma podział na warstwy): co najwyżej 3 mm/m i nie więcej niż </w:t>
      </w:r>
      <w:smartTag w:uri="urn:schemas-microsoft-com:office:smarttags" w:element="metricconverter">
        <w:smartTagPr>
          <w:attr w:name="productid" w:val="30 mm"/>
        </w:smartTagPr>
        <w:r>
          <w:t>30 mm</w:t>
        </w:r>
      </w:smartTag>
      <w:r>
        <w:t xml:space="preserve"> na całej długości.</w:t>
      </w:r>
    </w:p>
    <w:p w:rsidR="00F45603" w:rsidRDefault="00F45603" w:rsidP="00F45603">
      <w:pPr>
        <w:pStyle w:val="Nagwek2"/>
      </w:pPr>
      <w:r>
        <w:t>6.5. Kontrola wykonania umocnienia wlotów i wylotów</w:t>
      </w:r>
    </w:p>
    <w:p w:rsidR="00F45603" w:rsidRDefault="00F45603" w:rsidP="00F45603">
      <w:r>
        <w:tab/>
        <w:t>Umocnienie wlotów i wylotów należy kontrolować wizualnie, sprawdzając ich zgodność z dokumentacją projektową.</w:t>
      </w:r>
    </w:p>
    <w:p w:rsidR="00F45603" w:rsidRDefault="00F45603" w:rsidP="00F45603">
      <w:pPr>
        <w:pStyle w:val="Nagwek2"/>
      </w:pPr>
      <w:r>
        <w:t>6.6. Kontrola wykonania ławy fundamentowej</w:t>
      </w:r>
    </w:p>
    <w:p w:rsidR="00F45603" w:rsidRDefault="00F45603" w:rsidP="00F45603">
      <w:r>
        <w:tab/>
        <w:t>Przy kontroli wykonania ławy fundamentowej należy sprawdzić:</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rodzaj materiału użytego do wykonania ławy,</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usytuowanie ławy w planie,</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rzędne wysokościowe,</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grubość ławy,</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zgodność wykonania z dokumentacją projektową.</w:t>
      </w:r>
    </w:p>
    <w:p w:rsidR="00F45603" w:rsidRDefault="00F45603" w:rsidP="00F45603">
      <w:pPr>
        <w:pStyle w:val="Nagwek2"/>
      </w:pPr>
      <w:r>
        <w:t>6.7. Kontrola wykonania elementów prefabrykowanych</w:t>
      </w:r>
    </w:p>
    <w:p w:rsidR="00F45603" w:rsidRDefault="00F45603" w:rsidP="00F45603">
      <w:r>
        <w:tab/>
        <w:t>Elementy prefabrykowane należy sprawdzać w zakresie:</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kształtu i wymiarów (długość, wymiary wewnętrzne, grubość ścianki - wg dokumentacji projektowej),</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wyglądu zewnętrznego (zgodnie z wymaganiami punktu 2.6),</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wytrzymałości betonu na ściskanie (zgodnie z wymaganiami tablicy 6,  pkt 3.1),</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średnicy prętów i usytuowania zbrojenia (zgodnie z dokumentacją projektową i wymaganiami punktów 5.6.2 i 5.7).</w:t>
      </w:r>
    </w:p>
    <w:p w:rsidR="00F45603" w:rsidRDefault="00F45603" w:rsidP="00F45603"/>
    <w:p w:rsidR="00F45603" w:rsidRDefault="00F45603" w:rsidP="00F45603">
      <w:pPr>
        <w:pStyle w:val="Nagwek2"/>
      </w:pPr>
      <w:r>
        <w:t>6.8. Kontrola połączenia prefabrykatów</w:t>
      </w:r>
    </w:p>
    <w:p w:rsidR="00F45603" w:rsidRDefault="00F45603" w:rsidP="00F45603">
      <w:r>
        <w:tab/>
        <w:t>Połączenie prefabrykatów powinno być sprawdzone wizualnie w celu porównania zgodności zmontowanego przepustu z dokumentacją projektową oraz ustaleniami              punktu 5.8.</w:t>
      </w:r>
    </w:p>
    <w:p w:rsidR="00F45603" w:rsidRDefault="00F45603" w:rsidP="00F45603">
      <w:pPr>
        <w:pStyle w:val="Nagwek2"/>
      </w:pPr>
      <w:r>
        <w:t>6.9. Kontrola izolacji ścian przepustu</w:t>
      </w:r>
    </w:p>
    <w:p w:rsidR="00F45603" w:rsidRDefault="00F45603" w:rsidP="00F45603">
      <w:r>
        <w:tab/>
        <w:t>Izolacja ścian przepustu powinna być sprawdzona przez oględziny w zgodności z wymaganiami punktu 5.10.</w:t>
      </w:r>
    </w:p>
    <w:p w:rsidR="00F45603" w:rsidRDefault="00F45603" w:rsidP="00F45603">
      <w:pPr>
        <w:pStyle w:val="Nagwek1"/>
      </w:pPr>
      <w:bookmarkStart w:id="176" w:name="_Toc424359832"/>
      <w:r>
        <w:t>7. OBMIAR ROBÓT</w:t>
      </w:r>
      <w:bookmarkEnd w:id="176"/>
    </w:p>
    <w:p w:rsidR="00F45603" w:rsidRDefault="00F45603" w:rsidP="00F45603">
      <w:pPr>
        <w:pStyle w:val="Nagwek2"/>
      </w:pPr>
      <w:r>
        <w:t>7.1. Ogólne zasady obmiaru robót</w:t>
      </w:r>
    </w:p>
    <w:p w:rsidR="00F45603" w:rsidRDefault="00F45603" w:rsidP="00F45603">
      <w:r>
        <w:tab/>
        <w:t>Ogólne zasady obmiaru robót podano w OST D-M-00.00.00 „Wymagania ogólne” pkt 7.</w:t>
      </w:r>
    </w:p>
    <w:p w:rsidR="00F45603" w:rsidRDefault="00F45603" w:rsidP="00F45603">
      <w:pPr>
        <w:pStyle w:val="Nagwek2"/>
      </w:pPr>
      <w:r>
        <w:t>7.2. Jednostka obmiarowa</w:t>
      </w:r>
    </w:p>
    <w:p w:rsidR="00F45603" w:rsidRDefault="00F45603" w:rsidP="00F45603">
      <w:r>
        <w:tab/>
        <w:t>Jednostką obmiarową jest:</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m (metr), przy kompletnym wykonaniu przepustu,</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szt. (sztuka), przy samodzielnej realizacji ścianki czołowej.</w:t>
      </w:r>
    </w:p>
    <w:p w:rsidR="00F45603" w:rsidRDefault="00F45603" w:rsidP="00F45603">
      <w:pPr>
        <w:pStyle w:val="Nagwek1"/>
      </w:pPr>
      <w:bookmarkStart w:id="177" w:name="_Toc424359833"/>
      <w:r>
        <w:t>8. ODBIÓR ROBÓT</w:t>
      </w:r>
      <w:bookmarkEnd w:id="177"/>
    </w:p>
    <w:p w:rsidR="00F45603" w:rsidRDefault="00F45603" w:rsidP="00F45603">
      <w:pPr>
        <w:pStyle w:val="Nagwek2"/>
      </w:pPr>
      <w:r>
        <w:t>8.1. Ogólne zasady odbioru robót</w:t>
      </w:r>
    </w:p>
    <w:p w:rsidR="00F45603" w:rsidRDefault="00F45603" w:rsidP="00F45603">
      <w:r>
        <w:tab/>
        <w:t>Ogólne zasady odbioru robót podano w OST D-M-00.00.00 „Wymagania ogólne” pkt 8.</w:t>
      </w:r>
    </w:p>
    <w:p w:rsidR="00F45603" w:rsidRDefault="00F45603" w:rsidP="00F45603">
      <w:r>
        <w:lastRenderedPageBreak/>
        <w:tab/>
        <w:t>Roboty uznaje się za wykonane zgodnie z dokumentacją projektową, SST i wymaganiami Inżyniera, jeżeli wszystkie pomiary i badania, z zachowaniem tolerancji wg pkt 6, dały wyniki pozytywne.</w:t>
      </w:r>
    </w:p>
    <w:p w:rsidR="00F45603" w:rsidRDefault="00F45603" w:rsidP="00F45603">
      <w:pPr>
        <w:pStyle w:val="Nagwek2"/>
      </w:pPr>
      <w:r>
        <w:t>8.2. Odbiór robót zanikających i ulegających zakryciu</w:t>
      </w:r>
    </w:p>
    <w:p w:rsidR="00F45603" w:rsidRDefault="00F45603" w:rsidP="00F45603">
      <w:r>
        <w:tab/>
        <w:t>Odbiorowi robót zanikających i ulegających zakryciu podlegają:</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wykopu,</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ław fundamentowych,</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deskowania,</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izolacji przepustu.</w:t>
      </w:r>
    </w:p>
    <w:p w:rsidR="00F45603" w:rsidRDefault="00F45603" w:rsidP="00F45603">
      <w:pPr>
        <w:pStyle w:val="Nagwek1"/>
      </w:pPr>
      <w:bookmarkStart w:id="178" w:name="_Toc424359834"/>
      <w:r>
        <w:t>9. PODSTAWA PŁATNOŚCI</w:t>
      </w:r>
      <w:bookmarkEnd w:id="178"/>
    </w:p>
    <w:p w:rsidR="00F45603" w:rsidRDefault="00F45603" w:rsidP="00F45603">
      <w:pPr>
        <w:pStyle w:val="Nagwek2"/>
      </w:pPr>
      <w:r>
        <w:t>9.1. Ogólne ustalenia dotyczące podstawy płatności</w:t>
      </w:r>
    </w:p>
    <w:p w:rsidR="00F45603" w:rsidRDefault="00F45603" w:rsidP="00F45603">
      <w:r>
        <w:tab/>
        <w:t>Ogólne ustalenia dotyczące podstawy płatności podano w OST D-M-00.00.00 „Wymagania ogólne” pkt 9.</w:t>
      </w:r>
    </w:p>
    <w:p w:rsidR="00F45603" w:rsidRDefault="00F45603" w:rsidP="00F45603"/>
    <w:p w:rsidR="00F45603" w:rsidRDefault="00F45603" w:rsidP="00F45603">
      <w:pPr>
        <w:pStyle w:val="Nagwek2"/>
      </w:pPr>
      <w:r>
        <w:t>9.2. Cena jednostki obmiarowej</w:t>
      </w:r>
    </w:p>
    <w:p w:rsidR="00F45603" w:rsidRDefault="00F45603" w:rsidP="00F45603">
      <w:r>
        <w:tab/>
        <w:t xml:space="preserve">Cena </w:t>
      </w:r>
      <w:smartTag w:uri="urn:schemas-microsoft-com:office:smarttags" w:element="metricconverter">
        <w:smartTagPr>
          <w:attr w:name="productid" w:val="1 m"/>
        </w:smartTagPr>
        <w:r>
          <w:t>1 m</w:t>
        </w:r>
      </w:smartTag>
      <w:r>
        <w:t xml:space="preserve"> kompletnego przepustu obejmuje:</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roboty pomiarowe i przygotowawcze,</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wykopu wraz z odwodnieniem,</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dostarczenie materiałów,</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ław fundamentów i ich pielęgnację,</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deskowania,</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montaż konstrukcji przepustu wraz ze ściankami czołowymi </w:t>
      </w:r>
      <w:r>
        <w:rPr>
          <w:vertAlign w:val="superscript"/>
        </w:rPr>
        <w:t>1)</w:t>
      </w:r>
      <w:r>
        <w:t>,</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 xml:space="preserve">zbrojenie i zabetonowanie konstrukcji przepustu </w:t>
      </w:r>
      <w:r>
        <w:rPr>
          <w:vertAlign w:val="superscript"/>
        </w:rPr>
        <w:t>2)</w:t>
      </w:r>
      <w:r>
        <w:t>,</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rozebranie deskowania,</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izolacji przepustu,</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zasypki z zagęszczeniem warstwami, zgodnie z dokumentacją projektową,</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umocnienie wlotów i wylotów,</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uporządkowanie terenu,</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pomiarów i badań laboratoryjnych wymaganych w specyfikacji technicznej.</w:t>
      </w:r>
    </w:p>
    <w:p w:rsidR="00F45603" w:rsidRDefault="00F45603" w:rsidP="00F45603">
      <w:r>
        <w:rPr>
          <w:vertAlign w:val="superscript"/>
        </w:rPr>
        <w:t>1)</w:t>
      </w:r>
      <w:r>
        <w:t xml:space="preserve"> dla przepustów wykonywanych z elementów prefabrykowanych</w:t>
      </w:r>
    </w:p>
    <w:p w:rsidR="00F45603" w:rsidRDefault="00F45603" w:rsidP="00F45603">
      <w:r>
        <w:rPr>
          <w:vertAlign w:val="superscript"/>
        </w:rPr>
        <w:t>2)</w:t>
      </w:r>
      <w:r>
        <w:t xml:space="preserve"> dla przepustów wykonywanych na mokro.</w:t>
      </w:r>
    </w:p>
    <w:p w:rsidR="00F45603" w:rsidRDefault="00F45603" w:rsidP="00F45603">
      <w:r>
        <w:tab/>
        <w:t>Cena 1 szt. ścianki czołowej, przy samodzielnej jej realizacji, obejmuje:</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roboty pomiarowe i przygotowawcze,</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wykopów,</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dostarczenie materiałów,</w:t>
      </w:r>
    </w:p>
    <w:p w:rsidR="00F45603" w:rsidRDefault="00F45603" w:rsidP="00F45603">
      <w:pPr>
        <w:numPr>
          <w:ilvl w:val="0"/>
          <w:numId w:val="5"/>
        </w:numPr>
        <w:overflowPunct w:val="0"/>
        <w:autoSpaceDE w:val="0"/>
        <w:autoSpaceDN w:val="0"/>
        <w:adjustRightInd w:val="0"/>
        <w:spacing w:after="0" w:line="240" w:lineRule="auto"/>
        <w:jc w:val="both"/>
        <w:textAlignment w:val="baseline"/>
      </w:pPr>
      <w:r>
        <w:t>wykonanie ścianki czołowej:</w:t>
      </w:r>
    </w:p>
    <w:p w:rsidR="00F45603" w:rsidRDefault="00F45603" w:rsidP="00B4292E">
      <w:pPr>
        <w:numPr>
          <w:ilvl w:val="0"/>
          <w:numId w:val="55"/>
        </w:numPr>
        <w:overflowPunct w:val="0"/>
        <w:autoSpaceDE w:val="0"/>
        <w:autoSpaceDN w:val="0"/>
        <w:adjustRightInd w:val="0"/>
        <w:spacing w:after="0" w:line="240" w:lineRule="auto"/>
        <w:jc w:val="both"/>
        <w:textAlignment w:val="baseline"/>
      </w:pPr>
      <w:r>
        <w:t>w przypadku ścianki betonowej</w:t>
      </w:r>
    </w:p>
    <w:p w:rsidR="00F45603" w:rsidRDefault="00F45603" w:rsidP="00F45603">
      <w:pPr>
        <w:numPr>
          <w:ilvl w:val="0"/>
          <w:numId w:val="5"/>
        </w:numPr>
        <w:overflowPunct w:val="0"/>
        <w:autoSpaceDE w:val="0"/>
        <w:autoSpaceDN w:val="0"/>
        <w:adjustRightInd w:val="0"/>
        <w:spacing w:after="0" w:line="240" w:lineRule="auto"/>
        <w:ind w:left="1003"/>
        <w:jc w:val="both"/>
        <w:textAlignment w:val="baseline"/>
      </w:pPr>
      <w:r>
        <w:t>ew. wykonanie deskowania i późniejsze jego rozebranie,</w:t>
      </w:r>
    </w:p>
    <w:p w:rsidR="00F45603" w:rsidRDefault="00F45603" w:rsidP="00F45603">
      <w:pPr>
        <w:numPr>
          <w:ilvl w:val="0"/>
          <w:numId w:val="5"/>
        </w:numPr>
        <w:overflowPunct w:val="0"/>
        <w:autoSpaceDE w:val="0"/>
        <w:autoSpaceDN w:val="0"/>
        <w:adjustRightInd w:val="0"/>
        <w:spacing w:after="0" w:line="240" w:lineRule="auto"/>
        <w:ind w:left="1003"/>
        <w:jc w:val="both"/>
        <w:textAlignment w:val="baseline"/>
      </w:pPr>
      <w:r>
        <w:t>ew. zbrojenie elementów betonowych,</w:t>
      </w:r>
    </w:p>
    <w:p w:rsidR="00F45603" w:rsidRDefault="00F45603" w:rsidP="00F45603">
      <w:pPr>
        <w:numPr>
          <w:ilvl w:val="0"/>
          <w:numId w:val="5"/>
        </w:numPr>
        <w:overflowPunct w:val="0"/>
        <w:autoSpaceDE w:val="0"/>
        <w:autoSpaceDN w:val="0"/>
        <w:adjustRightInd w:val="0"/>
        <w:spacing w:after="0" w:line="240" w:lineRule="auto"/>
        <w:ind w:left="1003"/>
        <w:jc w:val="both"/>
        <w:textAlignment w:val="baseline"/>
      </w:pPr>
      <w:r>
        <w:t>betonowanie konstrukcji fundamentu, ścianki i skrzydełek lub montaż elementów z prefabrykatów,</w:t>
      </w:r>
    </w:p>
    <w:p w:rsidR="00F45603" w:rsidRDefault="00F45603" w:rsidP="00B4292E">
      <w:pPr>
        <w:numPr>
          <w:ilvl w:val="0"/>
          <w:numId w:val="55"/>
        </w:numPr>
        <w:overflowPunct w:val="0"/>
        <w:autoSpaceDE w:val="0"/>
        <w:autoSpaceDN w:val="0"/>
        <w:adjustRightInd w:val="0"/>
        <w:spacing w:after="0" w:line="240" w:lineRule="auto"/>
        <w:ind w:left="1003"/>
        <w:jc w:val="both"/>
        <w:textAlignment w:val="baseline"/>
      </w:pPr>
      <w:r>
        <w:t>w przypadku ścianki z kamienia</w:t>
      </w:r>
    </w:p>
    <w:p w:rsidR="00F45603" w:rsidRDefault="00F45603" w:rsidP="00F45603">
      <w:pPr>
        <w:numPr>
          <w:ilvl w:val="0"/>
          <w:numId w:val="5"/>
        </w:numPr>
        <w:overflowPunct w:val="0"/>
        <w:autoSpaceDE w:val="0"/>
        <w:autoSpaceDN w:val="0"/>
        <w:adjustRightInd w:val="0"/>
        <w:spacing w:after="0" w:line="240" w:lineRule="auto"/>
        <w:ind w:left="1003"/>
        <w:jc w:val="both"/>
        <w:textAlignment w:val="baseline"/>
      </w:pPr>
      <w:r>
        <w:t>roboty murowe z kamienia łamanego,</w:t>
      </w:r>
    </w:p>
    <w:p w:rsidR="00F45603" w:rsidRDefault="00F45603" w:rsidP="00F45603">
      <w:pPr>
        <w:numPr>
          <w:ilvl w:val="12"/>
          <w:numId w:val="0"/>
        </w:numPr>
        <w:ind w:left="283" w:hanging="283"/>
      </w:pPr>
      <w:r>
        <w:t xml:space="preserve">         dla wszystkich rodzajów ścianek czołowych:</w:t>
      </w:r>
    </w:p>
    <w:p w:rsidR="00F45603" w:rsidRDefault="00F45603" w:rsidP="00F45603">
      <w:pPr>
        <w:numPr>
          <w:ilvl w:val="0"/>
          <w:numId w:val="5"/>
        </w:numPr>
        <w:overflowPunct w:val="0"/>
        <w:autoSpaceDE w:val="0"/>
        <w:autoSpaceDN w:val="0"/>
        <w:adjustRightInd w:val="0"/>
        <w:spacing w:after="0" w:line="240" w:lineRule="auto"/>
        <w:ind w:left="992"/>
        <w:jc w:val="both"/>
        <w:textAlignment w:val="baseline"/>
      </w:pPr>
      <w:r>
        <w:lastRenderedPageBreak/>
        <w:t>wykonanie izolacji przeciwwilgotnościowej,</w:t>
      </w:r>
    </w:p>
    <w:p w:rsidR="00F45603" w:rsidRDefault="00F45603" w:rsidP="00F45603">
      <w:pPr>
        <w:numPr>
          <w:ilvl w:val="0"/>
          <w:numId w:val="5"/>
        </w:numPr>
        <w:overflowPunct w:val="0"/>
        <w:autoSpaceDE w:val="0"/>
        <w:autoSpaceDN w:val="0"/>
        <w:adjustRightInd w:val="0"/>
        <w:spacing w:after="0" w:line="240" w:lineRule="auto"/>
        <w:ind w:left="992"/>
        <w:jc w:val="both"/>
        <w:textAlignment w:val="baseline"/>
      </w:pPr>
      <w:r>
        <w:t>zasypka ścianki czołowej,</w:t>
      </w:r>
    </w:p>
    <w:p w:rsidR="00F45603" w:rsidRDefault="00F45603" w:rsidP="00F45603">
      <w:pPr>
        <w:numPr>
          <w:ilvl w:val="0"/>
          <w:numId w:val="5"/>
        </w:numPr>
        <w:overflowPunct w:val="0"/>
        <w:autoSpaceDE w:val="0"/>
        <w:autoSpaceDN w:val="0"/>
        <w:adjustRightInd w:val="0"/>
        <w:spacing w:after="0" w:line="240" w:lineRule="auto"/>
        <w:ind w:left="992"/>
        <w:jc w:val="both"/>
        <w:textAlignment w:val="baseline"/>
      </w:pPr>
      <w:r>
        <w:t>ew. umocnienie wlotu i wylotu,</w:t>
      </w:r>
    </w:p>
    <w:p w:rsidR="00F45603" w:rsidRDefault="00F45603" w:rsidP="00F45603">
      <w:pPr>
        <w:numPr>
          <w:ilvl w:val="0"/>
          <w:numId w:val="5"/>
        </w:numPr>
        <w:overflowPunct w:val="0"/>
        <w:autoSpaceDE w:val="0"/>
        <w:autoSpaceDN w:val="0"/>
        <w:adjustRightInd w:val="0"/>
        <w:spacing w:after="0" w:line="240" w:lineRule="auto"/>
        <w:ind w:left="992"/>
        <w:jc w:val="both"/>
        <w:textAlignment w:val="baseline"/>
      </w:pPr>
      <w:r>
        <w:t>uporządkowanie terenu,</w:t>
      </w:r>
    </w:p>
    <w:p w:rsidR="00F45603" w:rsidRDefault="00F45603" w:rsidP="00F45603">
      <w:pPr>
        <w:numPr>
          <w:ilvl w:val="0"/>
          <w:numId w:val="5"/>
        </w:numPr>
        <w:tabs>
          <w:tab w:val="left" w:pos="709"/>
          <w:tab w:val="left" w:pos="993"/>
        </w:tabs>
        <w:overflowPunct w:val="0"/>
        <w:autoSpaceDE w:val="0"/>
        <w:autoSpaceDN w:val="0"/>
        <w:adjustRightInd w:val="0"/>
        <w:spacing w:after="0" w:line="240" w:lineRule="auto"/>
        <w:ind w:left="992"/>
        <w:jc w:val="both"/>
        <w:textAlignment w:val="baseline"/>
      </w:pPr>
      <w:r>
        <w:t>wykonanie pomiarów i badań laboratoryjnych wymaganych w specyfikacji technicznej.</w:t>
      </w:r>
    </w:p>
    <w:p w:rsidR="00F45603" w:rsidRDefault="00F45603" w:rsidP="00F45603">
      <w:pPr>
        <w:pStyle w:val="Nagwek1"/>
      </w:pPr>
      <w:bookmarkStart w:id="179" w:name="_Toc424359835"/>
      <w:r>
        <w:t>10. PRZEPISY ZWIĄZANE</w:t>
      </w:r>
      <w:bookmarkEnd w:id="179"/>
    </w:p>
    <w:p w:rsidR="00F45603" w:rsidRDefault="00F45603" w:rsidP="00F45603">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03"/>
        <w:gridCol w:w="5103"/>
      </w:tblGrid>
      <w:tr w:rsidR="00F45603" w:rsidTr="00E558D1">
        <w:trPr>
          <w:gridAfter w:val="1"/>
          <w:wAfter w:w="5103" w:type="dxa"/>
        </w:trPr>
        <w:tc>
          <w:tcPr>
            <w:tcW w:w="496" w:type="dxa"/>
          </w:tcPr>
          <w:p w:rsidR="00F45603" w:rsidRDefault="00F45603" w:rsidP="00E558D1">
            <w:pPr>
              <w:jc w:val="center"/>
            </w:pPr>
            <w:r>
              <w:t>1.</w:t>
            </w:r>
          </w:p>
        </w:tc>
        <w:tc>
          <w:tcPr>
            <w:tcW w:w="1842" w:type="dxa"/>
          </w:tcPr>
          <w:p w:rsidR="00F45603" w:rsidRDefault="00F45603" w:rsidP="00E558D1">
            <w:r>
              <w:t>PN-B-01080</w:t>
            </w:r>
          </w:p>
        </w:tc>
        <w:tc>
          <w:tcPr>
            <w:tcW w:w="5103" w:type="dxa"/>
          </w:tcPr>
          <w:p w:rsidR="00F45603" w:rsidRDefault="00F45603" w:rsidP="00E558D1">
            <w:r>
              <w:t>Kamień dla budownictwa i drogownictwa. Podział                           i zastosowanie wg własności fizyczno-mechanicznych</w:t>
            </w:r>
          </w:p>
        </w:tc>
      </w:tr>
      <w:tr w:rsidR="00F45603" w:rsidTr="00E558D1">
        <w:trPr>
          <w:gridAfter w:val="1"/>
          <w:wAfter w:w="5103" w:type="dxa"/>
        </w:trPr>
        <w:tc>
          <w:tcPr>
            <w:tcW w:w="496" w:type="dxa"/>
          </w:tcPr>
          <w:p w:rsidR="00F45603" w:rsidRDefault="00F45603" w:rsidP="00E558D1">
            <w:pPr>
              <w:jc w:val="center"/>
            </w:pPr>
            <w:r>
              <w:t xml:space="preserve">  2.</w:t>
            </w:r>
          </w:p>
        </w:tc>
        <w:tc>
          <w:tcPr>
            <w:tcW w:w="1842" w:type="dxa"/>
          </w:tcPr>
          <w:p w:rsidR="00F45603" w:rsidRDefault="00F45603" w:rsidP="00E558D1">
            <w:r>
              <w:t>PN-B-02356</w:t>
            </w:r>
          </w:p>
        </w:tc>
        <w:tc>
          <w:tcPr>
            <w:tcW w:w="5103" w:type="dxa"/>
          </w:tcPr>
          <w:p w:rsidR="00F45603" w:rsidRDefault="00F45603" w:rsidP="00E558D1">
            <w:r>
              <w:t>Tolerancja wymiarowa w budownictwie. Tolerancja wymiarów elementów budowlanych z betonu</w:t>
            </w:r>
          </w:p>
        </w:tc>
      </w:tr>
      <w:tr w:rsidR="00F45603" w:rsidTr="00E558D1">
        <w:tc>
          <w:tcPr>
            <w:tcW w:w="496" w:type="dxa"/>
          </w:tcPr>
          <w:p w:rsidR="00F45603" w:rsidRDefault="00F45603" w:rsidP="00E558D1">
            <w:pPr>
              <w:jc w:val="center"/>
            </w:pPr>
            <w:r>
              <w:t xml:space="preserve">  3.</w:t>
            </w:r>
          </w:p>
        </w:tc>
        <w:tc>
          <w:tcPr>
            <w:tcW w:w="1842" w:type="dxa"/>
          </w:tcPr>
          <w:p w:rsidR="00F45603" w:rsidRDefault="00F45603" w:rsidP="00E558D1">
            <w:r>
              <w:t>PN-B-04101</w:t>
            </w:r>
          </w:p>
        </w:tc>
        <w:tc>
          <w:tcPr>
            <w:tcW w:w="5103" w:type="dxa"/>
          </w:tcPr>
          <w:p w:rsidR="00F45603" w:rsidRDefault="00F45603" w:rsidP="00E558D1">
            <w:r>
              <w:t>Materiały kamienne. Oznaczenie nasiąkliwości wodą</w:t>
            </w:r>
          </w:p>
        </w:tc>
        <w:tc>
          <w:tcPr>
            <w:tcW w:w="5103" w:type="dxa"/>
          </w:tcPr>
          <w:p w:rsidR="00F45603" w:rsidRDefault="00F45603" w:rsidP="00E558D1"/>
        </w:tc>
      </w:tr>
      <w:tr w:rsidR="00F45603" w:rsidTr="00E558D1">
        <w:tc>
          <w:tcPr>
            <w:tcW w:w="496" w:type="dxa"/>
          </w:tcPr>
          <w:p w:rsidR="00F45603" w:rsidRDefault="00F45603" w:rsidP="00E558D1">
            <w:pPr>
              <w:jc w:val="center"/>
            </w:pPr>
            <w:r>
              <w:t xml:space="preserve">  4.</w:t>
            </w:r>
          </w:p>
        </w:tc>
        <w:tc>
          <w:tcPr>
            <w:tcW w:w="1842" w:type="dxa"/>
          </w:tcPr>
          <w:p w:rsidR="00F45603" w:rsidRDefault="00F45603" w:rsidP="00E558D1">
            <w:r>
              <w:t>PN-B-04102</w:t>
            </w:r>
          </w:p>
        </w:tc>
        <w:tc>
          <w:tcPr>
            <w:tcW w:w="5103" w:type="dxa"/>
          </w:tcPr>
          <w:p w:rsidR="00F45603" w:rsidRDefault="00F45603" w:rsidP="00E558D1">
            <w:r>
              <w:t>Materiały kamienne. Oznaczenie mrozoodporności metodą bezpośrednią</w:t>
            </w:r>
          </w:p>
        </w:tc>
        <w:tc>
          <w:tcPr>
            <w:tcW w:w="5103" w:type="dxa"/>
          </w:tcPr>
          <w:p w:rsidR="00F45603" w:rsidRDefault="00F45603" w:rsidP="00E558D1"/>
        </w:tc>
      </w:tr>
      <w:tr w:rsidR="00F45603" w:rsidTr="00E558D1">
        <w:tc>
          <w:tcPr>
            <w:tcW w:w="496" w:type="dxa"/>
          </w:tcPr>
          <w:p w:rsidR="00F45603" w:rsidRDefault="00F45603" w:rsidP="00E558D1">
            <w:pPr>
              <w:jc w:val="center"/>
            </w:pPr>
            <w:r>
              <w:t xml:space="preserve">  5.</w:t>
            </w:r>
          </w:p>
        </w:tc>
        <w:tc>
          <w:tcPr>
            <w:tcW w:w="1842" w:type="dxa"/>
          </w:tcPr>
          <w:p w:rsidR="00F45603" w:rsidRDefault="00F45603" w:rsidP="00E558D1">
            <w:r>
              <w:t>PN-B-04110</w:t>
            </w:r>
          </w:p>
        </w:tc>
        <w:tc>
          <w:tcPr>
            <w:tcW w:w="5103" w:type="dxa"/>
          </w:tcPr>
          <w:p w:rsidR="00F45603" w:rsidRDefault="00F45603" w:rsidP="00E558D1">
            <w:r>
              <w:t>Materiały kamienne. Oznaczenie wytrzymałości na ściskanie</w:t>
            </w:r>
          </w:p>
        </w:tc>
        <w:tc>
          <w:tcPr>
            <w:tcW w:w="5103" w:type="dxa"/>
          </w:tcPr>
          <w:p w:rsidR="00F45603" w:rsidRDefault="00F45603" w:rsidP="00E558D1"/>
        </w:tc>
      </w:tr>
      <w:tr w:rsidR="00F45603" w:rsidTr="00E558D1">
        <w:tc>
          <w:tcPr>
            <w:tcW w:w="496" w:type="dxa"/>
          </w:tcPr>
          <w:p w:rsidR="00F45603" w:rsidRDefault="00F45603" w:rsidP="00E558D1">
            <w:pPr>
              <w:jc w:val="center"/>
            </w:pPr>
            <w:r>
              <w:t xml:space="preserve">  6.</w:t>
            </w:r>
          </w:p>
        </w:tc>
        <w:tc>
          <w:tcPr>
            <w:tcW w:w="1842" w:type="dxa"/>
          </w:tcPr>
          <w:p w:rsidR="00F45603" w:rsidRDefault="00F45603" w:rsidP="00E558D1">
            <w:r>
              <w:t>PN-B-04111</w:t>
            </w:r>
          </w:p>
        </w:tc>
        <w:tc>
          <w:tcPr>
            <w:tcW w:w="5103" w:type="dxa"/>
          </w:tcPr>
          <w:p w:rsidR="00F45603" w:rsidRDefault="00F45603" w:rsidP="00E558D1">
            <w:r>
              <w:t>Materiały kamienne. Oznaczenie ścieralności na tarczy Boehmego</w:t>
            </w:r>
          </w:p>
        </w:tc>
        <w:tc>
          <w:tcPr>
            <w:tcW w:w="5103" w:type="dxa"/>
          </w:tcPr>
          <w:p w:rsidR="00F45603" w:rsidRDefault="00F45603" w:rsidP="00E558D1"/>
        </w:tc>
      </w:tr>
      <w:tr w:rsidR="00F45603" w:rsidTr="00E558D1">
        <w:tc>
          <w:tcPr>
            <w:tcW w:w="496" w:type="dxa"/>
          </w:tcPr>
          <w:p w:rsidR="00F45603" w:rsidRDefault="00F45603" w:rsidP="00E558D1">
            <w:pPr>
              <w:jc w:val="center"/>
            </w:pPr>
            <w:r>
              <w:t xml:space="preserve">  7.</w:t>
            </w:r>
          </w:p>
        </w:tc>
        <w:tc>
          <w:tcPr>
            <w:tcW w:w="1842" w:type="dxa"/>
          </w:tcPr>
          <w:p w:rsidR="00F45603" w:rsidRDefault="00F45603" w:rsidP="00E558D1">
            <w:r>
              <w:t>PN-B-06711</w:t>
            </w:r>
          </w:p>
        </w:tc>
        <w:tc>
          <w:tcPr>
            <w:tcW w:w="5103" w:type="dxa"/>
          </w:tcPr>
          <w:p w:rsidR="00F45603" w:rsidRDefault="00F45603" w:rsidP="00E558D1">
            <w:r>
              <w:t>Kruszywa mineralne. Piaski do zapraw budowlanych</w:t>
            </w:r>
          </w:p>
        </w:tc>
        <w:tc>
          <w:tcPr>
            <w:tcW w:w="5103" w:type="dxa"/>
          </w:tcPr>
          <w:p w:rsidR="00F45603" w:rsidRDefault="00F45603" w:rsidP="00E558D1"/>
        </w:tc>
      </w:tr>
      <w:tr w:rsidR="00F45603" w:rsidTr="00E558D1">
        <w:trPr>
          <w:gridAfter w:val="1"/>
          <w:wAfter w:w="5103" w:type="dxa"/>
        </w:trPr>
        <w:tc>
          <w:tcPr>
            <w:tcW w:w="496" w:type="dxa"/>
          </w:tcPr>
          <w:p w:rsidR="00F45603" w:rsidRDefault="00F45603" w:rsidP="00E558D1">
            <w:pPr>
              <w:jc w:val="center"/>
            </w:pPr>
            <w:r>
              <w:t xml:space="preserve">  8.</w:t>
            </w:r>
          </w:p>
        </w:tc>
        <w:tc>
          <w:tcPr>
            <w:tcW w:w="1842" w:type="dxa"/>
          </w:tcPr>
          <w:p w:rsidR="00F45603" w:rsidRDefault="00F45603" w:rsidP="00E558D1">
            <w:r>
              <w:t>PN-B-06250</w:t>
            </w:r>
          </w:p>
        </w:tc>
        <w:tc>
          <w:tcPr>
            <w:tcW w:w="5103" w:type="dxa"/>
          </w:tcPr>
          <w:p w:rsidR="00F45603" w:rsidRDefault="00F45603" w:rsidP="00E558D1">
            <w:r>
              <w:t>Beton zwykły</w:t>
            </w:r>
          </w:p>
        </w:tc>
      </w:tr>
      <w:tr w:rsidR="00F45603" w:rsidTr="00E558D1">
        <w:trPr>
          <w:gridAfter w:val="1"/>
          <w:wAfter w:w="5103" w:type="dxa"/>
        </w:trPr>
        <w:tc>
          <w:tcPr>
            <w:tcW w:w="496" w:type="dxa"/>
          </w:tcPr>
          <w:p w:rsidR="00F45603" w:rsidRDefault="00F45603" w:rsidP="00E558D1">
            <w:pPr>
              <w:jc w:val="center"/>
            </w:pPr>
            <w:r>
              <w:t xml:space="preserve">  9.</w:t>
            </w:r>
          </w:p>
        </w:tc>
        <w:tc>
          <w:tcPr>
            <w:tcW w:w="1842" w:type="dxa"/>
          </w:tcPr>
          <w:p w:rsidR="00F45603" w:rsidRDefault="00F45603" w:rsidP="00E558D1">
            <w:r>
              <w:t>PN-B-06251</w:t>
            </w:r>
          </w:p>
        </w:tc>
        <w:tc>
          <w:tcPr>
            <w:tcW w:w="5103" w:type="dxa"/>
          </w:tcPr>
          <w:p w:rsidR="00F45603" w:rsidRDefault="00F45603" w:rsidP="00E558D1">
            <w:r>
              <w:t>Roboty betonowe i żelbetowe. Wymagania techniczne</w:t>
            </w:r>
          </w:p>
        </w:tc>
      </w:tr>
      <w:tr w:rsidR="00F45603" w:rsidTr="00E558D1">
        <w:trPr>
          <w:gridAfter w:val="1"/>
          <w:wAfter w:w="5103" w:type="dxa"/>
        </w:trPr>
        <w:tc>
          <w:tcPr>
            <w:tcW w:w="496" w:type="dxa"/>
          </w:tcPr>
          <w:p w:rsidR="00F45603" w:rsidRDefault="00F45603" w:rsidP="00E558D1">
            <w:pPr>
              <w:jc w:val="center"/>
            </w:pPr>
            <w:r>
              <w:t>10.</w:t>
            </w:r>
          </w:p>
        </w:tc>
        <w:tc>
          <w:tcPr>
            <w:tcW w:w="1842" w:type="dxa"/>
          </w:tcPr>
          <w:p w:rsidR="00F45603" w:rsidRDefault="00F45603" w:rsidP="00E558D1">
            <w:r>
              <w:t>PN-B-06261</w:t>
            </w:r>
          </w:p>
        </w:tc>
        <w:tc>
          <w:tcPr>
            <w:tcW w:w="5103" w:type="dxa"/>
          </w:tcPr>
          <w:p w:rsidR="00F45603" w:rsidRDefault="00F45603" w:rsidP="00E558D1">
            <w:r>
              <w:t>Nieniszczące badania konstrukcji z betonu. Metoda ultradźwiękowa badania wytrzymałości betonu na ściskanie</w:t>
            </w:r>
          </w:p>
        </w:tc>
      </w:tr>
      <w:tr w:rsidR="00F45603" w:rsidTr="00E558D1">
        <w:trPr>
          <w:gridAfter w:val="1"/>
          <w:wAfter w:w="5103" w:type="dxa"/>
        </w:trPr>
        <w:tc>
          <w:tcPr>
            <w:tcW w:w="496" w:type="dxa"/>
          </w:tcPr>
          <w:p w:rsidR="00F45603" w:rsidRDefault="00F45603" w:rsidP="00E558D1">
            <w:pPr>
              <w:jc w:val="center"/>
            </w:pPr>
            <w:r>
              <w:t>11.</w:t>
            </w:r>
          </w:p>
        </w:tc>
        <w:tc>
          <w:tcPr>
            <w:tcW w:w="1842" w:type="dxa"/>
          </w:tcPr>
          <w:p w:rsidR="00F45603" w:rsidRDefault="00F45603" w:rsidP="00E558D1">
            <w:r>
              <w:t>PN-B-06262</w:t>
            </w:r>
          </w:p>
        </w:tc>
        <w:tc>
          <w:tcPr>
            <w:tcW w:w="5103" w:type="dxa"/>
          </w:tcPr>
          <w:p w:rsidR="00F45603" w:rsidRDefault="00F45603" w:rsidP="00E558D1">
            <w:r>
              <w:t>Metoda sklerometryczna badania wytrzymałości betonu na ściskanie za pomocą młotka SCHMIDTA typu N</w:t>
            </w:r>
          </w:p>
        </w:tc>
      </w:tr>
      <w:tr w:rsidR="00F45603" w:rsidTr="00E558D1">
        <w:trPr>
          <w:gridAfter w:val="1"/>
          <w:wAfter w:w="5103" w:type="dxa"/>
        </w:trPr>
        <w:tc>
          <w:tcPr>
            <w:tcW w:w="496" w:type="dxa"/>
          </w:tcPr>
          <w:p w:rsidR="00F45603" w:rsidRDefault="00F45603" w:rsidP="00E558D1">
            <w:pPr>
              <w:jc w:val="center"/>
            </w:pPr>
            <w:r>
              <w:t>12.</w:t>
            </w:r>
          </w:p>
        </w:tc>
        <w:tc>
          <w:tcPr>
            <w:tcW w:w="1842" w:type="dxa"/>
          </w:tcPr>
          <w:p w:rsidR="00F45603" w:rsidRDefault="00F45603" w:rsidP="00E558D1">
            <w:r>
              <w:t>PN-B-06712</w:t>
            </w:r>
          </w:p>
        </w:tc>
        <w:tc>
          <w:tcPr>
            <w:tcW w:w="5103" w:type="dxa"/>
          </w:tcPr>
          <w:p w:rsidR="00F45603" w:rsidRDefault="00F45603" w:rsidP="00E558D1">
            <w:r>
              <w:t>Kruszywa mineralne do betonu</w:t>
            </w:r>
          </w:p>
        </w:tc>
      </w:tr>
      <w:tr w:rsidR="00F45603" w:rsidTr="00E558D1">
        <w:trPr>
          <w:gridAfter w:val="1"/>
          <w:wAfter w:w="5103" w:type="dxa"/>
        </w:trPr>
        <w:tc>
          <w:tcPr>
            <w:tcW w:w="496" w:type="dxa"/>
          </w:tcPr>
          <w:p w:rsidR="00F45603" w:rsidRDefault="00F45603" w:rsidP="00E558D1">
            <w:pPr>
              <w:jc w:val="center"/>
            </w:pPr>
            <w:r>
              <w:t>13.</w:t>
            </w:r>
          </w:p>
        </w:tc>
        <w:tc>
          <w:tcPr>
            <w:tcW w:w="1842" w:type="dxa"/>
          </w:tcPr>
          <w:p w:rsidR="00F45603" w:rsidRDefault="00F45603" w:rsidP="00E558D1">
            <w:r>
              <w:t>PN-B-06714-12</w:t>
            </w:r>
          </w:p>
        </w:tc>
        <w:tc>
          <w:tcPr>
            <w:tcW w:w="5103" w:type="dxa"/>
          </w:tcPr>
          <w:p w:rsidR="00F45603" w:rsidRDefault="00F45603" w:rsidP="00E558D1">
            <w:r>
              <w:t>Kruszywa mineralne. Badania. Oznaczenie zawartości zanieczyszczeń obcych</w:t>
            </w:r>
          </w:p>
        </w:tc>
      </w:tr>
      <w:tr w:rsidR="00F45603" w:rsidTr="00E558D1">
        <w:trPr>
          <w:gridAfter w:val="1"/>
          <w:wAfter w:w="5103" w:type="dxa"/>
        </w:trPr>
        <w:tc>
          <w:tcPr>
            <w:tcW w:w="496" w:type="dxa"/>
          </w:tcPr>
          <w:p w:rsidR="00F45603" w:rsidRDefault="00F45603" w:rsidP="00E558D1">
            <w:pPr>
              <w:jc w:val="center"/>
            </w:pPr>
            <w:r>
              <w:t>14.</w:t>
            </w:r>
          </w:p>
        </w:tc>
        <w:tc>
          <w:tcPr>
            <w:tcW w:w="1842" w:type="dxa"/>
          </w:tcPr>
          <w:p w:rsidR="00F45603" w:rsidRDefault="00F45603" w:rsidP="00E558D1">
            <w:r>
              <w:t>PN-B-06714-13</w:t>
            </w:r>
          </w:p>
        </w:tc>
        <w:tc>
          <w:tcPr>
            <w:tcW w:w="5103" w:type="dxa"/>
          </w:tcPr>
          <w:p w:rsidR="00F45603" w:rsidRDefault="00F45603" w:rsidP="00E558D1">
            <w:r>
              <w:t>Kruszywa mineralne. Badania. Oznaczanie zawartości pyłów mineralnych</w:t>
            </w:r>
          </w:p>
        </w:tc>
      </w:tr>
      <w:tr w:rsidR="00F45603" w:rsidTr="00E558D1">
        <w:trPr>
          <w:gridAfter w:val="1"/>
          <w:wAfter w:w="5103" w:type="dxa"/>
        </w:trPr>
        <w:tc>
          <w:tcPr>
            <w:tcW w:w="496" w:type="dxa"/>
          </w:tcPr>
          <w:p w:rsidR="00F45603" w:rsidRDefault="00F45603" w:rsidP="00E558D1">
            <w:pPr>
              <w:jc w:val="center"/>
            </w:pPr>
            <w:r>
              <w:t>15.</w:t>
            </w:r>
          </w:p>
        </w:tc>
        <w:tc>
          <w:tcPr>
            <w:tcW w:w="1842" w:type="dxa"/>
          </w:tcPr>
          <w:p w:rsidR="00F45603" w:rsidRDefault="00F45603" w:rsidP="00E558D1">
            <w:r>
              <w:t>PN-B-06714-15</w:t>
            </w:r>
          </w:p>
        </w:tc>
        <w:tc>
          <w:tcPr>
            <w:tcW w:w="5103" w:type="dxa"/>
          </w:tcPr>
          <w:p w:rsidR="00F45603" w:rsidRDefault="00F45603" w:rsidP="00E558D1">
            <w:r>
              <w:t>Kruszywa mineralne. Badania. Oznaczenie składu ziarnowego</w:t>
            </w:r>
          </w:p>
        </w:tc>
      </w:tr>
      <w:tr w:rsidR="00F45603" w:rsidTr="00E558D1">
        <w:trPr>
          <w:gridAfter w:val="1"/>
          <w:wAfter w:w="5103" w:type="dxa"/>
        </w:trPr>
        <w:tc>
          <w:tcPr>
            <w:tcW w:w="496" w:type="dxa"/>
          </w:tcPr>
          <w:p w:rsidR="00F45603" w:rsidRDefault="00F45603" w:rsidP="00E558D1">
            <w:pPr>
              <w:jc w:val="center"/>
            </w:pPr>
            <w:r>
              <w:t>16.</w:t>
            </w:r>
          </w:p>
        </w:tc>
        <w:tc>
          <w:tcPr>
            <w:tcW w:w="1842" w:type="dxa"/>
          </w:tcPr>
          <w:p w:rsidR="00F45603" w:rsidRDefault="00F45603" w:rsidP="00E558D1">
            <w:r>
              <w:t>PN-B-06714-16</w:t>
            </w:r>
          </w:p>
        </w:tc>
        <w:tc>
          <w:tcPr>
            <w:tcW w:w="5103" w:type="dxa"/>
          </w:tcPr>
          <w:p w:rsidR="00F45603" w:rsidRDefault="00F45603" w:rsidP="00E558D1">
            <w:r>
              <w:t>Kruszywa mineralne. Badania. Oznaczenie kształtu ziarn</w:t>
            </w:r>
          </w:p>
        </w:tc>
      </w:tr>
      <w:tr w:rsidR="00F45603" w:rsidTr="00E558D1">
        <w:trPr>
          <w:gridAfter w:val="1"/>
          <w:wAfter w:w="5103" w:type="dxa"/>
        </w:trPr>
        <w:tc>
          <w:tcPr>
            <w:tcW w:w="496" w:type="dxa"/>
          </w:tcPr>
          <w:p w:rsidR="00F45603" w:rsidRDefault="00F45603" w:rsidP="00E558D1">
            <w:pPr>
              <w:jc w:val="center"/>
            </w:pPr>
            <w:r>
              <w:t>17.</w:t>
            </w:r>
          </w:p>
        </w:tc>
        <w:tc>
          <w:tcPr>
            <w:tcW w:w="1842" w:type="dxa"/>
          </w:tcPr>
          <w:p w:rsidR="00F45603" w:rsidRDefault="00F45603" w:rsidP="00E558D1">
            <w:r>
              <w:t>PN-B-06714-18</w:t>
            </w:r>
          </w:p>
        </w:tc>
        <w:tc>
          <w:tcPr>
            <w:tcW w:w="5103" w:type="dxa"/>
          </w:tcPr>
          <w:p w:rsidR="00F45603" w:rsidRDefault="00F45603" w:rsidP="00E558D1">
            <w:r>
              <w:t>Kruszywa mineralne. Badania. Oznaczenie nasiąkliwości</w:t>
            </w:r>
          </w:p>
        </w:tc>
      </w:tr>
      <w:tr w:rsidR="00F45603" w:rsidTr="00E558D1">
        <w:trPr>
          <w:gridAfter w:val="1"/>
          <w:wAfter w:w="5103" w:type="dxa"/>
        </w:trPr>
        <w:tc>
          <w:tcPr>
            <w:tcW w:w="496" w:type="dxa"/>
          </w:tcPr>
          <w:p w:rsidR="00F45603" w:rsidRDefault="00F45603" w:rsidP="00E558D1">
            <w:pPr>
              <w:jc w:val="center"/>
            </w:pPr>
            <w:r>
              <w:lastRenderedPageBreak/>
              <w:t>18.</w:t>
            </w:r>
          </w:p>
        </w:tc>
        <w:tc>
          <w:tcPr>
            <w:tcW w:w="1842" w:type="dxa"/>
          </w:tcPr>
          <w:p w:rsidR="00F45603" w:rsidRDefault="00F45603" w:rsidP="00E558D1">
            <w:r>
              <w:t>PN-B-06714-34</w:t>
            </w:r>
          </w:p>
        </w:tc>
        <w:tc>
          <w:tcPr>
            <w:tcW w:w="5103" w:type="dxa"/>
          </w:tcPr>
          <w:p w:rsidR="00F45603" w:rsidRDefault="00F45603" w:rsidP="00E558D1">
            <w:r>
              <w:t>Kruszywa mineralne. Badania. Oznaczenie reaktywności alkalicznej</w:t>
            </w:r>
          </w:p>
        </w:tc>
      </w:tr>
      <w:tr w:rsidR="00F45603" w:rsidTr="00E558D1">
        <w:trPr>
          <w:gridAfter w:val="1"/>
          <w:wAfter w:w="5103" w:type="dxa"/>
        </w:trPr>
        <w:tc>
          <w:tcPr>
            <w:tcW w:w="496" w:type="dxa"/>
          </w:tcPr>
          <w:p w:rsidR="00F45603" w:rsidRDefault="00F45603" w:rsidP="00E558D1">
            <w:pPr>
              <w:jc w:val="center"/>
            </w:pPr>
            <w:r>
              <w:t>19.</w:t>
            </w:r>
          </w:p>
        </w:tc>
        <w:tc>
          <w:tcPr>
            <w:tcW w:w="1842" w:type="dxa"/>
          </w:tcPr>
          <w:p w:rsidR="00F45603" w:rsidRDefault="00F45603" w:rsidP="00E558D1">
            <w:r>
              <w:t>PN-B-11112</w:t>
            </w:r>
          </w:p>
        </w:tc>
        <w:tc>
          <w:tcPr>
            <w:tcW w:w="5103" w:type="dxa"/>
          </w:tcPr>
          <w:p w:rsidR="00F45603" w:rsidRDefault="00F45603" w:rsidP="00E558D1">
            <w:r>
              <w:t>Kruszywo mineralne. Kruszywa łamane do nawierzchni drogowych</w:t>
            </w:r>
          </w:p>
        </w:tc>
      </w:tr>
      <w:tr w:rsidR="00F45603" w:rsidTr="00E558D1">
        <w:trPr>
          <w:gridAfter w:val="1"/>
          <w:wAfter w:w="5103" w:type="dxa"/>
        </w:trPr>
        <w:tc>
          <w:tcPr>
            <w:tcW w:w="496" w:type="dxa"/>
          </w:tcPr>
          <w:p w:rsidR="00F45603" w:rsidRDefault="00F45603" w:rsidP="00E558D1">
            <w:pPr>
              <w:jc w:val="center"/>
            </w:pPr>
            <w:r>
              <w:t>20.</w:t>
            </w:r>
          </w:p>
        </w:tc>
        <w:tc>
          <w:tcPr>
            <w:tcW w:w="1842" w:type="dxa"/>
          </w:tcPr>
          <w:p w:rsidR="00F45603" w:rsidRDefault="00F45603" w:rsidP="00E558D1">
            <w:r>
              <w:t>PN-B-14501</w:t>
            </w:r>
          </w:p>
        </w:tc>
        <w:tc>
          <w:tcPr>
            <w:tcW w:w="5103" w:type="dxa"/>
          </w:tcPr>
          <w:p w:rsidR="00F45603" w:rsidRDefault="00F45603" w:rsidP="00E558D1">
            <w:r>
              <w:t>Zaprawy budowlane zwykłe</w:t>
            </w:r>
          </w:p>
        </w:tc>
      </w:tr>
      <w:tr w:rsidR="00F45603" w:rsidTr="00E558D1">
        <w:trPr>
          <w:gridAfter w:val="1"/>
          <w:wAfter w:w="5103" w:type="dxa"/>
        </w:trPr>
        <w:tc>
          <w:tcPr>
            <w:tcW w:w="496" w:type="dxa"/>
          </w:tcPr>
          <w:p w:rsidR="00F45603" w:rsidRDefault="00F45603" w:rsidP="00E558D1">
            <w:pPr>
              <w:jc w:val="center"/>
            </w:pPr>
            <w:r>
              <w:t>21.</w:t>
            </w:r>
          </w:p>
        </w:tc>
        <w:tc>
          <w:tcPr>
            <w:tcW w:w="1842" w:type="dxa"/>
          </w:tcPr>
          <w:p w:rsidR="00F45603" w:rsidRDefault="00F45603" w:rsidP="00E558D1">
            <w:r>
              <w:t>PN-B-19701</w:t>
            </w:r>
          </w:p>
        </w:tc>
        <w:tc>
          <w:tcPr>
            <w:tcW w:w="5103" w:type="dxa"/>
          </w:tcPr>
          <w:p w:rsidR="00F45603" w:rsidRDefault="00F45603" w:rsidP="00E558D1">
            <w:r>
              <w:t>Cement. Cement powszechnego użytku. Skład, wymagania             i ocena zgodności</w:t>
            </w:r>
          </w:p>
        </w:tc>
      </w:tr>
      <w:tr w:rsidR="00F45603" w:rsidTr="00E558D1">
        <w:trPr>
          <w:gridAfter w:val="1"/>
          <w:wAfter w:w="5103" w:type="dxa"/>
        </w:trPr>
        <w:tc>
          <w:tcPr>
            <w:tcW w:w="496" w:type="dxa"/>
          </w:tcPr>
          <w:p w:rsidR="00F45603" w:rsidRDefault="00F45603" w:rsidP="00E558D1">
            <w:pPr>
              <w:jc w:val="center"/>
            </w:pPr>
            <w:r>
              <w:t>22.</w:t>
            </w:r>
          </w:p>
        </w:tc>
        <w:tc>
          <w:tcPr>
            <w:tcW w:w="1842" w:type="dxa"/>
          </w:tcPr>
          <w:p w:rsidR="00F45603" w:rsidRDefault="00F45603" w:rsidP="00E558D1">
            <w:r>
              <w:t>PN-B-23010</w:t>
            </w:r>
          </w:p>
        </w:tc>
        <w:tc>
          <w:tcPr>
            <w:tcW w:w="5103" w:type="dxa"/>
          </w:tcPr>
          <w:p w:rsidR="00F45603" w:rsidRDefault="00F45603" w:rsidP="00E558D1">
            <w:r>
              <w:t>Domieszki do betonu. Klasyfikacja i określenia</w:t>
            </w:r>
          </w:p>
        </w:tc>
      </w:tr>
      <w:tr w:rsidR="00F45603" w:rsidTr="00E558D1">
        <w:trPr>
          <w:gridAfter w:val="1"/>
          <w:wAfter w:w="5103" w:type="dxa"/>
        </w:trPr>
        <w:tc>
          <w:tcPr>
            <w:tcW w:w="496" w:type="dxa"/>
          </w:tcPr>
          <w:p w:rsidR="00F45603" w:rsidRDefault="00F45603" w:rsidP="00E558D1">
            <w:pPr>
              <w:jc w:val="center"/>
            </w:pPr>
            <w:r>
              <w:t>23.</w:t>
            </w:r>
          </w:p>
        </w:tc>
        <w:tc>
          <w:tcPr>
            <w:tcW w:w="1842" w:type="dxa"/>
          </w:tcPr>
          <w:p w:rsidR="00F45603" w:rsidRDefault="00F45603" w:rsidP="00E558D1">
            <w:r>
              <w:t>PN-B-24622</w:t>
            </w:r>
          </w:p>
        </w:tc>
        <w:tc>
          <w:tcPr>
            <w:tcW w:w="5103" w:type="dxa"/>
          </w:tcPr>
          <w:p w:rsidR="00F45603" w:rsidRDefault="00F45603" w:rsidP="00E558D1">
            <w:r>
              <w:t>Roztwór asfaltowy do gruntowania</w:t>
            </w:r>
          </w:p>
        </w:tc>
      </w:tr>
      <w:tr w:rsidR="00F45603" w:rsidTr="00E558D1">
        <w:trPr>
          <w:gridAfter w:val="1"/>
          <w:wAfter w:w="5103" w:type="dxa"/>
        </w:trPr>
        <w:tc>
          <w:tcPr>
            <w:tcW w:w="496" w:type="dxa"/>
          </w:tcPr>
          <w:p w:rsidR="00F45603" w:rsidRDefault="00F45603" w:rsidP="00E558D1">
            <w:pPr>
              <w:jc w:val="center"/>
            </w:pPr>
            <w:r>
              <w:t>24.</w:t>
            </w:r>
          </w:p>
        </w:tc>
        <w:tc>
          <w:tcPr>
            <w:tcW w:w="1842" w:type="dxa"/>
          </w:tcPr>
          <w:p w:rsidR="00F45603" w:rsidRDefault="00F45603" w:rsidP="00E558D1">
            <w:r>
              <w:t>PN-B-32250</w:t>
            </w:r>
          </w:p>
        </w:tc>
        <w:tc>
          <w:tcPr>
            <w:tcW w:w="5103" w:type="dxa"/>
          </w:tcPr>
          <w:p w:rsidR="00F45603" w:rsidRDefault="00F45603" w:rsidP="00E558D1">
            <w:r>
              <w:t>Materiały budowlane. Woda do betonów i zapraw</w:t>
            </w:r>
          </w:p>
        </w:tc>
      </w:tr>
      <w:tr w:rsidR="00F45603" w:rsidTr="00E558D1">
        <w:trPr>
          <w:gridAfter w:val="1"/>
          <w:wAfter w:w="5103" w:type="dxa"/>
        </w:trPr>
        <w:tc>
          <w:tcPr>
            <w:tcW w:w="496" w:type="dxa"/>
          </w:tcPr>
          <w:p w:rsidR="00F45603" w:rsidRDefault="00F45603" w:rsidP="00E558D1">
            <w:pPr>
              <w:jc w:val="center"/>
            </w:pPr>
            <w:r>
              <w:t>25.</w:t>
            </w:r>
          </w:p>
        </w:tc>
        <w:tc>
          <w:tcPr>
            <w:tcW w:w="1842" w:type="dxa"/>
          </w:tcPr>
          <w:p w:rsidR="00F45603" w:rsidRDefault="00F45603" w:rsidP="00E558D1">
            <w:r>
              <w:t>PN-C-96177</w:t>
            </w:r>
          </w:p>
        </w:tc>
        <w:tc>
          <w:tcPr>
            <w:tcW w:w="5103" w:type="dxa"/>
          </w:tcPr>
          <w:p w:rsidR="00F45603" w:rsidRDefault="00F45603" w:rsidP="00E558D1">
            <w:r>
              <w:t>Lepik asfaltowy bez wypełniaczy stosowany na gorąco</w:t>
            </w:r>
          </w:p>
        </w:tc>
      </w:tr>
      <w:tr w:rsidR="00F45603" w:rsidTr="00E558D1">
        <w:trPr>
          <w:gridAfter w:val="1"/>
          <w:wAfter w:w="5103" w:type="dxa"/>
        </w:trPr>
        <w:tc>
          <w:tcPr>
            <w:tcW w:w="496" w:type="dxa"/>
          </w:tcPr>
          <w:p w:rsidR="00F45603" w:rsidRDefault="00F45603" w:rsidP="00E558D1">
            <w:pPr>
              <w:jc w:val="center"/>
            </w:pPr>
            <w:r>
              <w:t>26.</w:t>
            </w:r>
          </w:p>
        </w:tc>
        <w:tc>
          <w:tcPr>
            <w:tcW w:w="1842" w:type="dxa"/>
          </w:tcPr>
          <w:p w:rsidR="00F45603" w:rsidRDefault="00F45603" w:rsidP="00E558D1">
            <w:r>
              <w:t>PN-D-95017</w:t>
            </w:r>
          </w:p>
        </w:tc>
        <w:tc>
          <w:tcPr>
            <w:tcW w:w="5103" w:type="dxa"/>
          </w:tcPr>
          <w:p w:rsidR="00F45603" w:rsidRDefault="00F45603" w:rsidP="00E558D1">
            <w:r>
              <w:t>Surowiec drzewny. Drewno tartaczne iglaste</w:t>
            </w:r>
          </w:p>
        </w:tc>
      </w:tr>
      <w:tr w:rsidR="00F45603" w:rsidTr="00E558D1">
        <w:trPr>
          <w:gridAfter w:val="1"/>
          <w:wAfter w:w="5103" w:type="dxa"/>
        </w:trPr>
        <w:tc>
          <w:tcPr>
            <w:tcW w:w="496" w:type="dxa"/>
          </w:tcPr>
          <w:p w:rsidR="00F45603" w:rsidRDefault="00F45603" w:rsidP="00E558D1">
            <w:pPr>
              <w:jc w:val="center"/>
            </w:pPr>
            <w:r>
              <w:t>27.</w:t>
            </w:r>
          </w:p>
        </w:tc>
        <w:tc>
          <w:tcPr>
            <w:tcW w:w="1842" w:type="dxa"/>
          </w:tcPr>
          <w:p w:rsidR="00F45603" w:rsidRDefault="00F45603" w:rsidP="00E558D1">
            <w:r>
              <w:t>PN-D-96000</w:t>
            </w:r>
          </w:p>
        </w:tc>
        <w:tc>
          <w:tcPr>
            <w:tcW w:w="5103" w:type="dxa"/>
          </w:tcPr>
          <w:p w:rsidR="00F45603" w:rsidRDefault="00F45603" w:rsidP="00E558D1">
            <w:r>
              <w:t>Tarcica iglasta ogólnego przeznaczenia</w:t>
            </w:r>
          </w:p>
        </w:tc>
      </w:tr>
      <w:tr w:rsidR="00F45603" w:rsidTr="00E558D1">
        <w:trPr>
          <w:gridAfter w:val="1"/>
          <w:wAfter w:w="5103" w:type="dxa"/>
        </w:trPr>
        <w:tc>
          <w:tcPr>
            <w:tcW w:w="496" w:type="dxa"/>
          </w:tcPr>
          <w:p w:rsidR="00F45603" w:rsidRDefault="00F45603" w:rsidP="00E558D1">
            <w:pPr>
              <w:jc w:val="center"/>
            </w:pPr>
            <w:r>
              <w:t>28.</w:t>
            </w:r>
          </w:p>
        </w:tc>
        <w:tc>
          <w:tcPr>
            <w:tcW w:w="1842" w:type="dxa"/>
          </w:tcPr>
          <w:p w:rsidR="00F45603" w:rsidRDefault="00F45603" w:rsidP="00E558D1">
            <w:r>
              <w:t>PN-D-96002</w:t>
            </w:r>
          </w:p>
        </w:tc>
        <w:tc>
          <w:tcPr>
            <w:tcW w:w="5103" w:type="dxa"/>
          </w:tcPr>
          <w:p w:rsidR="00F45603" w:rsidRDefault="00F45603" w:rsidP="00E558D1">
            <w:r>
              <w:t>Tarcica liściasta ogólnego przeznaczenia</w:t>
            </w:r>
          </w:p>
        </w:tc>
      </w:tr>
      <w:tr w:rsidR="00F45603" w:rsidTr="00E558D1">
        <w:trPr>
          <w:gridAfter w:val="1"/>
          <w:wAfter w:w="5103" w:type="dxa"/>
        </w:trPr>
        <w:tc>
          <w:tcPr>
            <w:tcW w:w="496" w:type="dxa"/>
          </w:tcPr>
          <w:p w:rsidR="00F45603" w:rsidRDefault="00F45603" w:rsidP="00E558D1">
            <w:pPr>
              <w:jc w:val="center"/>
            </w:pPr>
            <w:r>
              <w:t>29.</w:t>
            </w:r>
          </w:p>
        </w:tc>
        <w:tc>
          <w:tcPr>
            <w:tcW w:w="1842" w:type="dxa"/>
          </w:tcPr>
          <w:p w:rsidR="00F45603" w:rsidRDefault="00F45603" w:rsidP="00E558D1">
            <w:r>
              <w:t>PN-H-93215</w:t>
            </w:r>
          </w:p>
        </w:tc>
        <w:tc>
          <w:tcPr>
            <w:tcW w:w="5103" w:type="dxa"/>
          </w:tcPr>
          <w:p w:rsidR="00F45603" w:rsidRDefault="00F45603" w:rsidP="00E558D1">
            <w:r>
              <w:t>Walcówka i pręty stalowe do zbrojenia betonu</w:t>
            </w:r>
          </w:p>
        </w:tc>
      </w:tr>
      <w:tr w:rsidR="00F45603" w:rsidTr="00E558D1">
        <w:tc>
          <w:tcPr>
            <w:tcW w:w="496" w:type="dxa"/>
          </w:tcPr>
          <w:p w:rsidR="00F45603" w:rsidRDefault="00F45603" w:rsidP="00E558D1">
            <w:pPr>
              <w:jc w:val="center"/>
            </w:pPr>
            <w:r>
              <w:t>30.</w:t>
            </w:r>
          </w:p>
        </w:tc>
        <w:tc>
          <w:tcPr>
            <w:tcW w:w="1842" w:type="dxa"/>
          </w:tcPr>
          <w:p w:rsidR="00F45603" w:rsidRDefault="00F45603" w:rsidP="00E558D1">
            <w:r>
              <w:t>PN-M-82010</w:t>
            </w:r>
          </w:p>
        </w:tc>
        <w:tc>
          <w:tcPr>
            <w:tcW w:w="5103" w:type="dxa"/>
          </w:tcPr>
          <w:p w:rsidR="00F45603" w:rsidRDefault="00F45603" w:rsidP="00E558D1">
            <w:r>
              <w:t>Podkładki kwadratowe w konstrukcjach drewnianych</w:t>
            </w:r>
          </w:p>
        </w:tc>
        <w:tc>
          <w:tcPr>
            <w:tcW w:w="5103" w:type="dxa"/>
          </w:tcPr>
          <w:p w:rsidR="00F45603" w:rsidRDefault="00F45603" w:rsidP="00E558D1"/>
        </w:tc>
      </w:tr>
      <w:tr w:rsidR="00F45603" w:rsidTr="00E558D1">
        <w:tc>
          <w:tcPr>
            <w:tcW w:w="496" w:type="dxa"/>
          </w:tcPr>
          <w:p w:rsidR="00F45603" w:rsidRDefault="00F45603" w:rsidP="00E558D1">
            <w:pPr>
              <w:jc w:val="center"/>
            </w:pPr>
            <w:r>
              <w:t>31.</w:t>
            </w:r>
          </w:p>
        </w:tc>
        <w:tc>
          <w:tcPr>
            <w:tcW w:w="1842" w:type="dxa"/>
          </w:tcPr>
          <w:p w:rsidR="00F45603" w:rsidRDefault="00F45603" w:rsidP="00E558D1">
            <w:r>
              <w:t>PN-M-82121</w:t>
            </w:r>
          </w:p>
        </w:tc>
        <w:tc>
          <w:tcPr>
            <w:tcW w:w="5103" w:type="dxa"/>
          </w:tcPr>
          <w:p w:rsidR="00F45603" w:rsidRDefault="00F45603" w:rsidP="00E558D1">
            <w:r>
              <w:t>Śruby ze łbem kwadratowym</w:t>
            </w:r>
          </w:p>
        </w:tc>
        <w:tc>
          <w:tcPr>
            <w:tcW w:w="5103" w:type="dxa"/>
          </w:tcPr>
          <w:p w:rsidR="00F45603" w:rsidRDefault="00F45603" w:rsidP="00E558D1"/>
        </w:tc>
      </w:tr>
      <w:tr w:rsidR="00F45603" w:rsidTr="00E558D1">
        <w:tc>
          <w:tcPr>
            <w:tcW w:w="496" w:type="dxa"/>
          </w:tcPr>
          <w:p w:rsidR="00F45603" w:rsidRDefault="00F45603" w:rsidP="00E558D1">
            <w:pPr>
              <w:jc w:val="center"/>
            </w:pPr>
            <w:r>
              <w:t>32.</w:t>
            </w:r>
          </w:p>
        </w:tc>
        <w:tc>
          <w:tcPr>
            <w:tcW w:w="1842" w:type="dxa"/>
          </w:tcPr>
          <w:p w:rsidR="00F45603" w:rsidRDefault="00F45603" w:rsidP="00E558D1">
            <w:r>
              <w:t>PN-M-82503</w:t>
            </w:r>
          </w:p>
        </w:tc>
        <w:tc>
          <w:tcPr>
            <w:tcW w:w="5103" w:type="dxa"/>
          </w:tcPr>
          <w:p w:rsidR="00F45603" w:rsidRDefault="00F45603" w:rsidP="00E558D1">
            <w:r>
              <w:t>Wkręty do drewna ze łbem stożkowym</w:t>
            </w:r>
          </w:p>
        </w:tc>
        <w:tc>
          <w:tcPr>
            <w:tcW w:w="5103" w:type="dxa"/>
          </w:tcPr>
          <w:p w:rsidR="00F45603" w:rsidRDefault="00F45603" w:rsidP="00E558D1"/>
        </w:tc>
      </w:tr>
      <w:tr w:rsidR="00F45603" w:rsidTr="00E558D1">
        <w:tc>
          <w:tcPr>
            <w:tcW w:w="496" w:type="dxa"/>
          </w:tcPr>
          <w:p w:rsidR="00F45603" w:rsidRDefault="00F45603" w:rsidP="00E558D1">
            <w:pPr>
              <w:jc w:val="center"/>
            </w:pPr>
            <w:r>
              <w:t>33.</w:t>
            </w:r>
          </w:p>
        </w:tc>
        <w:tc>
          <w:tcPr>
            <w:tcW w:w="1842" w:type="dxa"/>
          </w:tcPr>
          <w:p w:rsidR="00F45603" w:rsidRDefault="00F45603" w:rsidP="00E558D1">
            <w:r>
              <w:t>PN-M-82505</w:t>
            </w:r>
          </w:p>
        </w:tc>
        <w:tc>
          <w:tcPr>
            <w:tcW w:w="5103" w:type="dxa"/>
          </w:tcPr>
          <w:p w:rsidR="00F45603" w:rsidRDefault="00F45603" w:rsidP="00E558D1">
            <w:r>
              <w:t>Wkręty do drewna ze łbem kulistym</w:t>
            </w:r>
          </w:p>
        </w:tc>
        <w:tc>
          <w:tcPr>
            <w:tcW w:w="5103" w:type="dxa"/>
          </w:tcPr>
          <w:p w:rsidR="00F45603" w:rsidRDefault="00F45603" w:rsidP="00E558D1"/>
        </w:tc>
      </w:tr>
      <w:tr w:rsidR="00F45603" w:rsidTr="00E558D1">
        <w:tc>
          <w:tcPr>
            <w:tcW w:w="496" w:type="dxa"/>
          </w:tcPr>
          <w:p w:rsidR="00F45603" w:rsidRDefault="00F45603" w:rsidP="00E558D1">
            <w:pPr>
              <w:jc w:val="center"/>
            </w:pPr>
            <w:r>
              <w:t>34.</w:t>
            </w:r>
          </w:p>
        </w:tc>
        <w:tc>
          <w:tcPr>
            <w:tcW w:w="1842" w:type="dxa"/>
          </w:tcPr>
          <w:p w:rsidR="00F45603" w:rsidRDefault="00F45603" w:rsidP="00E558D1">
            <w:r>
              <w:t>PN-S-02205</w:t>
            </w:r>
          </w:p>
        </w:tc>
        <w:tc>
          <w:tcPr>
            <w:tcW w:w="5103" w:type="dxa"/>
          </w:tcPr>
          <w:p w:rsidR="00F45603" w:rsidRDefault="00F45603" w:rsidP="00E558D1">
            <w:r>
              <w:t>Drogi samochodowe. Roboty ziemne. Wymagania i badania</w:t>
            </w:r>
          </w:p>
        </w:tc>
        <w:tc>
          <w:tcPr>
            <w:tcW w:w="5103" w:type="dxa"/>
          </w:tcPr>
          <w:p w:rsidR="00F45603" w:rsidRDefault="00F45603" w:rsidP="00E558D1"/>
        </w:tc>
      </w:tr>
    </w:tbl>
    <w:p w:rsidR="00F45603" w:rsidRDefault="00F45603" w:rsidP="00F45603"/>
    <w:tbl>
      <w:tblPr>
        <w:tblW w:w="0" w:type="auto"/>
        <w:tblLayout w:type="fixed"/>
        <w:tblCellMar>
          <w:left w:w="70" w:type="dxa"/>
          <w:right w:w="70" w:type="dxa"/>
        </w:tblCellMar>
        <w:tblLook w:val="0000" w:firstRow="0" w:lastRow="0" w:firstColumn="0" w:lastColumn="0" w:noHBand="0" w:noVBand="0"/>
      </w:tblPr>
      <w:tblGrid>
        <w:gridCol w:w="496"/>
        <w:gridCol w:w="1842"/>
        <w:gridCol w:w="5103"/>
        <w:gridCol w:w="5103"/>
      </w:tblGrid>
      <w:tr w:rsidR="00F45603" w:rsidTr="00E558D1">
        <w:tc>
          <w:tcPr>
            <w:tcW w:w="496" w:type="dxa"/>
          </w:tcPr>
          <w:p w:rsidR="00F45603" w:rsidRDefault="00F45603" w:rsidP="00E558D1">
            <w:pPr>
              <w:jc w:val="center"/>
            </w:pPr>
            <w:r>
              <w:t>35.</w:t>
            </w:r>
          </w:p>
        </w:tc>
        <w:tc>
          <w:tcPr>
            <w:tcW w:w="1842" w:type="dxa"/>
          </w:tcPr>
          <w:p w:rsidR="00F45603" w:rsidRDefault="00F45603" w:rsidP="00E558D1">
            <w:r>
              <w:t>BN-87/5028-12</w:t>
            </w:r>
          </w:p>
        </w:tc>
        <w:tc>
          <w:tcPr>
            <w:tcW w:w="5103" w:type="dxa"/>
          </w:tcPr>
          <w:p w:rsidR="00F45603" w:rsidRDefault="00F45603" w:rsidP="00E558D1">
            <w:r>
              <w:t>Gwoździe budowlane. Gwoździe z trzpieniem gładkim, okrągłym i kwadratowym</w:t>
            </w:r>
          </w:p>
        </w:tc>
        <w:tc>
          <w:tcPr>
            <w:tcW w:w="5103" w:type="dxa"/>
          </w:tcPr>
          <w:p w:rsidR="00F45603" w:rsidRDefault="00F45603" w:rsidP="00E558D1"/>
        </w:tc>
      </w:tr>
      <w:tr w:rsidR="00F45603" w:rsidTr="00E558D1">
        <w:trPr>
          <w:gridAfter w:val="1"/>
          <w:wAfter w:w="5103" w:type="dxa"/>
        </w:trPr>
        <w:tc>
          <w:tcPr>
            <w:tcW w:w="496" w:type="dxa"/>
          </w:tcPr>
          <w:p w:rsidR="00F45603" w:rsidRDefault="00F45603" w:rsidP="00E558D1">
            <w:pPr>
              <w:jc w:val="center"/>
            </w:pPr>
            <w:r>
              <w:t>36.</w:t>
            </w:r>
          </w:p>
        </w:tc>
        <w:tc>
          <w:tcPr>
            <w:tcW w:w="1842" w:type="dxa"/>
          </w:tcPr>
          <w:p w:rsidR="00F45603" w:rsidRDefault="00F45603" w:rsidP="00E558D1">
            <w:r>
              <w:t>BN-88/6731-08</w:t>
            </w:r>
          </w:p>
        </w:tc>
        <w:tc>
          <w:tcPr>
            <w:tcW w:w="5103" w:type="dxa"/>
          </w:tcPr>
          <w:p w:rsidR="00F45603" w:rsidRDefault="00F45603" w:rsidP="00E558D1">
            <w:r>
              <w:t>Cement. Transport i przechowywanie</w:t>
            </w:r>
          </w:p>
        </w:tc>
      </w:tr>
      <w:tr w:rsidR="00F45603" w:rsidTr="00E558D1">
        <w:trPr>
          <w:gridAfter w:val="1"/>
          <w:wAfter w:w="5103" w:type="dxa"/>
        </w:trPr>
        <w:tc>
          <w:tcPr>
            <w:tcW w:w="496" w:type="dxa"/>
          </w:tcPr>
          <w:p w:rsidR="00F45603" w:rsidRDefault="00F45603" w:rsidP="00E558D1">
            <w:pPr>
              <w:jc w:val="center"/>
            </w:pPr>
            <w:r>
              <w:t>37.</w:t>
            </w:r>
          </w:p>
        </w:tc>
        <w:tc>
          <w:tcPr>
            <w:tcW w:w="1842" w:type="dxa"/>
          </w:tcPr>
          <w:p w:rsidR="00F45603" w:rsidRDefault="00F45603" w:rsidP="00E558D1">
            <w:r>
              <w:t>BN-67/6747-14</w:t>
            </w:r>
          </w:p>
        </w:tc>
        <w:tc>
          <w:tcPr>
            <w:tcW w:w="5103" w:type="dxa"/>
          </w:tcPr>
          <w:p w:rsidR="00F45603" w:rsidRDefault="00F45603" w:rsidP="00E558D1">
            <w:r>
              <w:t>Sposoby zabezpieczenia wyrobów kamiennych podczas transportu</w:t>
            </w:r>
          </w:p>
        </w:tc>
      </w:tr>
      <w:tr w:rsidR="00F45603" w:rsidTr="00E558D1">
        <w:trPr>
          <w:gridAfter w:val="1"/>
          <w:wAfter w:w="5103" w:type="dxa"/>
        </w:trPr>
        <w:tc>
          <w:tcPr>
            <w:tcW w:w="496" w:type="dxa"/>
          </w:tcPr>
          <w:p w:rsidR="00F45603" w:rsidRDefault="00F45603" w:rsidP="00E558D1">
            <w:pPr>
              <w:jc w:val="center"/>
            </w:pPr>
            <w:r>
              <w:t>38.</w:t>
            </w:r>
          </w:p>
        </w:tc>
        <w:tc>
          <w:tcPr>
            <w:tcW w:w="1842" w:type="dxa"/>
          </w:tcPr>
          <w:p w:rsidR="00F45603" w:rsidRDefault="00F45603" w:rsidP="00E558D1">
            <w:r>
              <w:t>BN-79/6751-01</w:t>
            </w:r>
          </w:p>
        </w:tc>
        <w:tc>
          <w:tcPr>
            <w:tcW w:w="5103" w:type="dxa"/>
          </w:tcPr>
          <w:p w:rsidR="00F45603" w:rsidRDefault="00F45603" w:rsidP="00E558D1">
            <w:r>
              <w:t>Materiały izolacji przeciwwilgociowej. Papa asfaltowa na taśmie aluminiowej</w:t>
            </w:r>
          </w:p>
        </w:tc>
      </w:tr>
      <w:tr w:rsidR="00F45603" w:rsidTr="00E558D1">
        <w:trPr>
          <w:gridAfter w:val="1"/>
          <w:wAfter w:w="5103" w:type="dxa"/>
        </w:trPr>
        <w:tc>
          <w:tcPr>
            <w:tcW w:w="496" w:type="dxa"/>
          </w:tcPr>
          <w:p w:rsidR="00F45603" w:rsidRDefault="00F45603" w:rsidP="00E558D1">
            <w:pPr>
              <w:jc w:val="center"/>
            </w:pPr>
            <w:r>
              <w:t>39.</w:t>
            </w:r>
          </w:p>
        </w:tc>
        <w:tc>
          <w:tcPr>
            <w:tcW w:w="1842" w:type="dxa"/>
          </w:tcPr>
          <w:p w:rsidR="00F45603" w:rsidRDefault="00F45603" w:rsidP="00E558D1">
            <w:r>
              <w:t>BN-88/6751-03</w:t>
            </w:r>
          </w:p>
        </w:tc>
        <w:tc>
          <w:tcPr>
            <w:tcW w:w="5103" w:type="dxa"/>
          </w:tcPr>
          <w:p w:rsidR="00F45603" w:rsidRDefault="00F45603" w:rsidP="00E558D1">
            <w:r>
              <w:t>Papa asfaltowa na welonie z włókien szklanych</w:t>
            </w:r>
          </w:p>
        </w:tc>
      </w:tr>
      <w:tr w:rsidR="00F45603" w:rsidTr="00E558D1">
        <w:trPr>
          <w:gridAfter w:val="1"/>
          <w:wAfter w:w="5103" w:type="dxa"/>
        </w:trPr>
        <w:tc>
          <w:tcPr>
            <w:tcW w:w="496" w:type="dxa"/>
          </w:tcPr>
          <w:p w:rsidR="00F45603" w:rsidRDefault="00F45603" w:rsidP="00E558D1">
            <w:pPr>
              <w:jc w:val="center"/>
            </w:pPr>
            <w:r>
              <w:t>40.</w:t>
            </w:r>
          </w:p>
        </w:tc>
        <w:tc>
          <w:tcPr>
            <w:tcW w:w="1842" w:type="dxa"/>
          </w:tcPr>
          <w:p w:rsidR="00F45603" w:rsidRDefault="00F45603" w:rsidP="00E558D1">
            <w:r>
              <w:t>BN-69/7122-11</w:t>
            </w:r>
          </w:p>
        </w:tc>
        <w:tc>
          <w:tcPr>
            <w:tcW w:w="5103" w:type="dxa"/>
          </w:tcPr>
          <w:p w:rsidR="00F45603" w:rsidRDefault="00F45603" w:rsidP="00E558D1">
            <w:r>
              <w:t>Płyty pilśniowe z drewna</w:t>
            </w:r>
          </w:p>
        </w:tc>
      </w:tr>
      <w:tr w:rsidR="00F45603" w:rsidTr="00E558D1">
        <w:trPr>
          <w:gridAfter w:val="1"/>
          <w:wAfter w:w="5103" w:type="dxa"/>
        </w:trPr>
        <w:tc>
          <w:tcPr>
            <w:tcW w:w="496" w:type="dxa"/>
          </w:tcPr>
          <w:p w:rsidR="00F45603" w:rsidRDefault="00F45603" w:rsidP="00E558D1">
            <w:pPr>
              <w:jc w:val="center"/>
            </w:pPr>
            <w:r>
              <w:t>41.</w:t>
            </w:r>
          </w:p>
        </w:tc>
        <w:tc>
          <w:tcPr>
            <w:tcW w:w="1842" w:type="dxa"/>
          </w:tcPr>
          <w:p w:rsidR="00F45603" w:rsidRDefault="00F45603" w:rsidP="00E558D1">
            <w:r>
              <w:t>BN-74/8841-19</w:t>
            </w:r>
          </w:p>
        </w:tc>
        <w:tc>
          <w:tcPr>
            <w:tcW w:w="5103" w:type="dxa"/>
          </w:tcPr>
          <w:p w:rsidR="00F45603" w:rsidRDefault="00F45603" w:rsidP="00E558D1">
            <w:r>
              <w:t>Roboty murowe. Mury z kamienia naturalnego. Wymagania i badania przy odbiorze</w:t>
            </w:r>
          </w:p>
        </w:tc>
      </w:tr>
      <w:tr w:rsidR="00F45603" w:rsidTr="00E558D1">
        <w:trPr>
          <w:gridAfter w:val="1"/>
          <w:wAfter w:w="5103" w:type="dxa"/>
        </w:trPr>
        <w:tc>
          <w:tcPr>
            <w:tcW w:w="496" w:type="dxa"/>
          </w:tcPr>
          <w:p w:rsidR="00F45603" w:rsidRDefault="00F45603" w:rsidP="00E558D1">
            <w:pPr>
              <w:jc w:val="center"/>
            </w:pPr>
            <w:r>
              <w:lastRenderedPageBreak/>
              <w:t>42.</w:t>
            </w:r>
          </w:p>
        </w:tc>
        <w:tc>
          <w:tcPr>
            <w:tcW w:w="1842" w:type="dxa"/>
          </w:tcPr>
          <w:p w:rsidR="00F45603" w:rsidRDefault="00F45603" w:rsidP="00E558D1">
            <w:r>
              <w:t>BN-73/9081-02</w:t>
            </w:r>
          </w:p>
        </w:tc>
        <w:tc>
          <w:tcPr>
            <w:tcW w:w="5103" w:type="dxa"/>
          </w:tcPr>
          <w:p w:rsidR="00F45603" w:rsidRDefault="00F45603" w:rsidP="00E558D1">
            <w:r>
              <w:t>Formy stalowe do produkcji elementów budowlanych z betonu kruszywowego. Wymagania i badania</w:t>
            </w:r>
          </w:p>
        </w:tc>
      </w:tr>
    </w:tbl>
    <w:p w:rsidR="00F45603" w:rsidRDefault="00F45603" w:rsidP="00F45603">
      <w:pPr>
        <w:pStyle w:val="Nagwek2"/>
      </w:pPr>
      <w:r>
        <w:t>10.2. Inne dokumenty</w:t>
      </w:r>
    </w:p>
    <w:p w:rsidR="00F45603" w:rsidRDefault="00F45603" w:rsidP="00B4292E">
      <w:pPr>
        <w:numPr>
          <w:ilvl w:val="0"/>
          <w:numId w:val="56"/>
        </w:numPr>
        <w:overflowPunct w:val="0"/>
        <w:autoSpaceDE w:val="0"/>
        <w:autoSpaceDN w:val="0"/>
        <w:adjustRightInd w:val="0"/>
        <w:spacing w:after="0" w:line="240" w:lineRule="auto"/>
        <w:jc w:val="both"/>
        <w:textAlignment w:val="baseline"/>
      </w:pPr>
      <w:r>
        <w:t>Instrukcja ITB 206/77. Instrukcja stosowania pyłów lotnych do betonów kruszywowych.</w:t>
      </w:r>
    </w:p>
    <w:p w:rsidR="00F45603" w:rsidRDefault="00F45603" w:rsidP="00B4292E">
      <w:pPr>
        <w:numPr>
          <w:ilvl w:val="0"/>
          <w:numId w:val="56"/>
        </w:numPr>
        <w:overflowPunct w:val="0"/>
        <w:autoSpaceDE w:val="0"/>
        <w:autoSpaceDN w:val="0"/>
        <w:adjustRightInd w:val="0"/>
        <w:spacing w:after="0" w:line="240" w:lineRule="auto"/>
        <w:jc w:val="both"/>
        <w:textAlignment w:val="baseline"/>
      </w:pPr>
      <w:r>
        <w:t>Warunki techniczne. Drogowe kationowe emulsje asfaltowe. IBDiM - 1994 r.</w:t>
      </w:r>
    </w:p>
    <w:p w:rsidR="00CD292D" w:rsidRPr="00FD6D1A" w:rsidRDefault="00F45603" w:rsidP="00FD6D1A">
      <w:pPr>
        <w:numPr>
          <w:ilvl w:val="0"/>
          <w:numId w:val="56"/>
        </w:numPr>
        <w:overflowPunct w:val="0"/>
        <w:autoSpaceDE w:val="0"/>
        <w:autoSpaceDN w:val="0"/>
        <w:adjustRightInd w:val="0"/>
        <w:spacing w:after="0" w:line="240" w:lineRule="auto"/>
        <w:jc w:val="both"/>
        <w:textAlignment w:val="baseline"/>
      </w:pPr>
      <w:r>
        <w:t>Wymagania i zalecenia dotyczące wykonywania betonów do konstrukcji mostowych. GDDP, Warszawa, 1990 r.</w:t>
      </w:r>
    </w:p>
    <w:p w:rsidR="00CD292D" w:rsidRPr="00CD292D" w:rsidRDefault="00CD292D" w:rsidP="00CD292D">
      <w:pPr>
        <w:overflowPunct w:val="0"/>
        <w:autoSpaceDE w:val="0"/>
        <w:autoSpaceDN w:val="0"/>
        <w:adjustRightInd w:val="0"/>
        <w:spacing w:after="0" w:line="240" w:lineRule="auto"/>
        <w:rPr>
          <w:rFonts w:ascii="Times New Roman" w:eastAsia="Times New Roman" w:hAnsi="Times New Roman" w:cs="Times New Roman"/>
          <w:sz w:val="20"/>
          <w:szCs w:val="20"/>
          <w:lang w:eastAsia="pl-PL"/>
        </w:rPr>
      </w:pPr>
    </w:p>
    <w:p w:rsidR="00CD292D" w:rsidRPr="00CD292D" w:rsidRDefault="00CD292D" w:rsidP="00CD292D">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CD292D" w:rsidRDefault="00FD6D1A" w:rsidP="00D00CDD">
      <w:pPr>
        <w:pStyle w:val="Standardowytekst"/>
        <w:rPr>
          <w:b/>
          <w:sz w:val="28"/>
        </w:rPr>
      </w:pPr>
      <w:bookmarkStart w:id="180" w:name="_Toc407069660"/>
      <w:bookmarkStart w:id="181" w:name="_Toc407081625"/>
      <w:bookmarkStart w:id="182" w:name="_Toc407081768"/>
      <w:bookmarkStart w:id="183" w:name="_Toc407083424"/>
      <w:bookmarkStart w:id="184" w:name="_Toc407084258"/>
      <w:bookmarkStart w:id="185" w:name="_Toc407085377"/>
      <w:bookmarkStart w:id="186" w:name="_Toc407085520"/>
      <w:bookmarkStart w:id="187" w:name="_Toc407085663"/>
      <w:bookmarkStart w:id="188" w:name="_Toc407086111"/>
      <w:r>
        <w:rPr>
          <w:b/>
          <w:sz w:val="28"/>
        </w:rPr>
        <w:t>I</w:t>
      </w:r>
      <w:r w:rsidR="00D00CDD">
        <w:rPr>
          <w:b/>
          <w:sz w:val="28"/>
        </w:rPr>
        <w:t xml:space="preserve">V  -  </w:t>
      </w:r>
      <w:r w:rsidR="00CD292D">
        <w:rPr>
          <w:b/>
          <w:sz w:val="28"/>
        </w:rPr>
        <w:t>D-04.03.01</w:t>
      </w:r>
      <w:r w:rsidR="00D00CDD">
        <w:rPr>
          <w:b/>
          <w:sz w:val="28"/>
        </w:rPr>
        <w:t xml:space="preserve">    </w:t>
      </w:r>
      <w:r w:rsidR="00CD292D">
        <w:rPr>
          <w:b/>
          <w:sz w:val="28"/>
        </w:rPr>
        <w:t>OCZYSZCZENIE  I  SKROPIENIE</w:t>
      </w:r>
    </w:p>
    <w:p w:rsidR="00CD292D" w:rsidRDefault="00CD292D" w:rsidP="00CD292D">
      <w:pPr>
        <w:pStyle w:val="Standardowytekst"/>
        <w:jc w:val="center"/>
        <w:rPr>
          <w:b/>
          <w:sz w:val="28"/>
        </w:rPr>
      </w:pPr>
      <w:r>
        <w:rPr>
          <w:b/>
          <w:sz w:val="28"/>
        </w:rPr>
        <w:t xml:space="preserve"> WARSTW  KONSTRUKCYJNYCH</w:t>
      </w:r>
    </w:p>
    <w:p w:rsidR="00CD292D" w:rsidRDefault="00CD292D" w:rsidP="00CD292D">
      <w:pPr>
        <w:pStyle w:val="Standardowytekst"/>
        <w:jc w:val="center"/>
        <w:rPr>
          <w:b/>
          <w:sz w:val="28"/>
        </w:rPr>
      </w:pPr>
    </w:p>
    <w:p w:rsidR="00CD292D" w:rsidRDefault="00CD292D" w:rsidP="00D00CDD">
      <w:pPr>
        <w:pBdr>
          <w:bottom w:val="single" w:sz="4" w:space="1" w:color="auto"/>
        </w:pBdr>
        <w:rPr>
          <w:color w:val="0000FF"/>
        </w:rPr>
      </w:pPr>
      <w:r>
        <w:rPr>
          <w:color w:val="0000FF"/>
        </w:rPr>
        <w:t>1. WSTĘP</w:t>
      </w:r>
      <w:bookmarkEnd w:id="180"/>
      <w:bookmarkEnd w:id="181"/>
      <w:bookmarkEnd w:id="182"/>
      <w:bookmarkEnd w:id="183"/>
      <w:bookmarkEnd w:id="184"/>
      <w:bookmarkEnd w:id="185"/>
      <w:bookmarkEnd w:id="186"/>
      <w:bookmarkEnd w:id="187"/>
      <w:bookmarkEnd w:id="188"/>
    </w:p>
    <w:p w:rsidR="00CD292D" w:rsidRDefault="00CD292D" w:rsidP="00CD292D">
      <w:pPr>
        <w:pStyle w:val="Nagwek2"/>
      </w:pPr>
      <w:bookmarkStart w:id="189" w:name="_Toc407069661"/>
      <w:bookmarkStart w:id="190" w:name="_Toc407081626"/>
      <w:bookmarkStart w:id="191" w:name="_Toc407081769"/>
      <w:bookmarkStart w:id="192" w:name="_Toc407083425"/>
      <w:bookmarkStart w:id="193" w:name="_Toc407084259"/>
      <w:bookmarkStart w:id="194" w:name="_Toc407085378"/>
      <w:bookmarkStart w:id="195" w:name="_Toc407085521"/>
      <w:bookmarkStart w:id="196" w:name="_Toc407085664"/>
      <w:bookmarkStart w:id="197" w:name="_Toc407086112"/>
      <w:r>
        <w:t>1.1. Przedmiot OST</w:t>
      </w:r>
      <w:bookmarkEnd w:id="189"/>
      <w:bookmarkEnd w:id="190"/>
      <w:bookmarkEnd w:id="191"/>
      <w:bookmarkEnd w:id="192"/>
      <w:bookmarkEnd w:id="193"/>
      <w:bookmarkEnd w:id="194"/>
      <w:bookmarkEnd w:id="195"/>
      <w:bookmarkEnd w:id="196"/>
      <w:bookmarkEnd w:id="197"/>
    </w:p>
    <w:p w:rsidR="00CD292D" w:rsidRDefault="00CD292D" w:rsidP="00CD292D">
      <w:pPr>
        <w:jc w:val="both"/>
        <w:rPr>
          <w:sz w:val="20"/>
        </w:rPr>
      </w:pPr>
      <w:r>
        <w:rPr>
          <w:sz w:val="20"/>
        </w:rPr>
        <w:tab/>
        <w:t>Przedmiotem niniejszej ogólnej specyfikacji technicznej (OST) są wymagania dotyczące wykonania i odbioru robót związanych z oczyszczeniem i skropieniem warstw konstrukcyjnych nawierzchni.</w:t>
      </w:r>
    </w:p>
    <w:p w:rsidR="00CD292D" w:rsidRDefault="00CD292D" w:rsidP="00CD292D">
      <w:pPr>
        <w:pStyle w:val="Nagwek2"/>
      </w:pPr>
      <w:bookmarkStart w:id="198" w:name="_Toc407069662"/>
      <w:bookmarkStart w:id="199" w:name="_Toc407081627"/>
      <w:bookmarkStart w:id="200" w:name="_Toc407081770"/>
      <w:bookmarkStart w:id="201" w:name="_Toc407083426"/>
      <w:bookmarkStart w:id="202" w:name="_Toc407084260"/>
      <w:bookmarkStart w:id="203" w:name="_Toc407085379"/>
      <w:bookmarkStart w:id="204" w:name="_Toc407085522"/>
      <w:bookmarkStart w:id="205" w:name="_Toc407085665"/>
      <w:bookmarkStart w:id="206" w:name="_Toc407086113"/>
      <w:r>
        <w:t>1.2. Zakres stosowania OST</w:t>
      </w:r>
      <w:bookmarkEnd w:id="198"/>
      <w:bookmarkEnd w:id="199"/>
      <w:bookmarkEnd w:id="200"/>
      <w:bookmarkEnd w:id="201"/>
      <w:bookmarkEnd w:id="202"/>
      <w:bookmarkEnd w:id="203"/>
      <w:bookmarkEnd w:id="204"/>
      <w:bookmarkEnd w:id="205"/>
      <w:bookmarkEnd w:id="206"/>
    </w:p>
    <w:p w:rsidR="00CD292D" w:rsidRDefault="00CD292D" w:rsidP="00CD292D">
      <w:pPr>
        <w:jc w:val="both"/>
        <w:rPr>
          <w:sz w:val="20"/>
        </w:rPr>
      </w:pPr>
      <w:r>
        <w:rPr>
          <w:sz w:val="20"/>
        </w:rPr>
        <w:tab/>
        <w:t>Ogólna specyfikacja techniczna (OST) stanowi obowiązującą podstawę opracowania szczegółowej specyfikacji technicznej (SST) stosowanej jako dokument przetargowy i kontraktowy przy zlecaniu i realizacji robót na drogach krajowych i wojewódzkich.</w:t>
      </w:r>
    </w:p>
    <w:p w:rsidR="00CD292D" w:rsidRDefault="00CD292D" w:rsidP="00CD292D">
      <w:pPr>
        <w:jc w:val="both"/>
        <w:rPr>
          <w:sz w:val="20"/>
        </w:rPr>
      </w:pPr>
      <w:r>
        <w:rPr>
          <w:sz w:val="20"/>
        </w:rPr>
        <w:tab/>
        <w:t>Zaleca się wykorzystanie OST przy zlecaniu robót na drogach miejskich i gminnych.</w:t>
      </w:r>
    </w:p>
    <w:p w:rsidR="00CD292D" w:rsidRDefault="00CD292D" w:rsidP="00CD292D">
      <w:pPr>
        <w:pStyle w:val="Nagwek2"/>
      </w:pPr>
      <w:bookmarkStart w:id="207" w:name="_Toc407069663"/>
      <w:bookmarkStart w:id="208" w:name="_Toc407081628"/>
      <w:bookmarkStart w:id="209" w:name="_Toc407081771"/>
      <w:bookmarkStart w:id="210" w:name="_Toc407083427"/>
      <w:bookmarkStart w:id="211" w:name="_Toc407084261"/>
      <w:bookmarkStart w:id="212" w:name="_Toc407085380"/>
      <w:bookmarkStart w:id="213" w:name="_Toc407085523"/>
      <w:bookmarkStart w:id="214" w:name="_Toc407085666"/>
      <w:bookmarkStart w:id="215" w:name="_Toc407086114"/>
      <w:r>
        <w:t>1.3. Zakres robót objętych OST</w:t>
      </w:r>
      <w:bookmarkEnd w:id="207"/>
      <w:bookmarkEnd w:id="208"/>
      <w:bookmarkEnd w:id="209"/>
      <w:bookmarkEnd w:id="210"/>
      <w:bookmarkEnd w:id="211"/>
      <w:bookmarkEnd w:id="212"/>
      <w:bookmarkEnd w:id="213"/>
      <w:bookmarkEnd w:id="214"/>
      <w:bookmarkEnd w:id="215"/>
    </w:p>
    <w:p w:rsidR="00CD292D" w:rsidRDefault="00CD292D" w:rsidP="00CD292D">
      <w:pPr>
        <w:jc w:val="both"/>
        <w:rPr>
          <w:sz w:val="20"/>
        </w:rPr>
      </w:pPr>
      <w:r>
        <w:rPr>
          <w:sz w:val="20"/>
        </w:rPr>
        <w:tab/>
        <w:t xml:space="preserve">Ustalenia zawarte w niniejszej specyfikacji dotyczą zasad prowadzenia robót związanych z oczyszczeniem i skropieniem warstw konstrukcyjnych przed ułożeniem następnej warstwy nawierzchni. </w:t>
      </w:r>
    </w:p>
    <w:p w:rsidR="00CD292D" w:rsidRDefault="00CD292D" w:rsidP="00CD292D">
      <w:pPr>
        <w:pStyle w:val="Nagwek2"/>
      </w:pPr>
      <w:bookmarkStart w:id="216" w:name="_Toc407069664"/>
      <w:bookmarkStart w:id="217" w:name="_Toc407081629"/>
      <w:bookmarkStart w:id="218" w:name="_Toc407081772"/>
      <w:bookmarkStart w:id="219" w:name="_Toc407083428"/>
      <w:bookmarkStart w:id="220" w:name="_Toc407084262"/>
      <w:bookmarkStart w:id="221" w:name="_Toc407085381"/>
      <w:bookmarkStart w:id="222" w:name="_Toc407085524"/>
      <w:bookmarkStart w:id="223" w:name="_Toc407085667"/>
      <w:bookmarkStart w:id="224" w:name="_Toc407086115"/>
      <w:r>
        <w:t>1.4. Określenia podstawowe</w:t>
      </w:r>
      <w:bookmarkEnd w:id="216"/>
      <w:bookmarkEnd w:id="217"/>
      <w:bookmarkEnd w:id="218"/>
      <w:bookmarkEnd w:id="219"/>
      <w:bookmarkEnd w:id="220"/>
      <w:bookmarkEnd w:id="221"/>
      <w:bookmarkEnd w:id="222"/>
      <w:bookmarkEnd w:id="223"/>
      <w:bookmarkEnd w:id="224"/>
    </w:p>
    <w:p w:rsidR="00CD292D" w:rsidRDefault="00CD292D" w:rsidP="00CD292D">
      <w:pPr>
        <w:jc w:val="both"/>
        <w:rPr>
          <w:sz w:val="20"/>
        </w:rPr>
      </w:pPr>
      <w:r>
        <w:rPr>
          <w:sz w:val="20"/>
        </w:rPr>
        <w:tab/>
        <w:t>Określenia podstawowe są zgodne z obowiązującymi, odpowiednimi polskimi normami i z definicjami podanymi w OST D-M-00.00.00 „Wymagania ogólne” pkt 1.4.</w:t>
      </w:r>
    </w:p>
    <w:p w:rsidR="00CD292D" w:rsidRDefault="00CD292D" w:rsidP="00CD292D">
      <w:pPr>
        <w:pStyle w:val="Nagwek2"/>
      </w:pPr>
      <w:bookmarkStart w:id="225" w:name="_Toc407069665"/>
      <w:bookmarkStart w:id="226" w:name="_Toc407081630"/>
      <w:bookmarkStart w:id="227" w:name="_Toc407081773"/>
      <w:bookmarkStart w:id="228" w:name="_Toc407083429"/>
      <w:bookmarkStart w:id="229" w:name="_Toc407084263"/>
      <w:bookmarkStart w:id="230" w:name="_Toc407085382"/>
      <w:bookmarkStart w:id="231" w:name="_Toc407085525"/>
      <w:bookmarkStart w:id="232" w:name="_Toc407085668"/>
      <w:bookmarkStart w:id="233" w:name="_Toc407086116"/>
      <w:r>
        <w:t>1.5. Ogólne wymagania dotyczące robót</w:t>
      </w:r>
      <w:bookmarkEnd w:id="225"/>
      <w:bookmarkEnd w:id="226"/>
      <w:bookmarkEnd w:id="227"/>
      <w:bookmarkEnd w:id="228"/>
      <w:bookmarkEnd w:id="229"/>
      <w:bookmarkEnd w:id="230"/>
      <w:bookmarkEnd w:id="231"/>
      <w:bookmarkEnd w:id="232"/>
      <w:bookmarkEnd w:id="233"/>
    </w:p>
    <w:p w:rsidR="00CD292D" w:rsidRDefault="00CD292D" w:rsidP="00CD292D">
      <w:pPr>
        <w:spacing w:after="120"/>
        <w:jc w:val="both"/>
        <w:rPr>
          <w:sz w:val="20"/>
        </w:rPr>
      </w:pPr>
      <w:r>
        <w:rPr>
          <w:sz w:val="20"/>
        </w:rPr>
        <w:tab/>
        <w:t>Ogólne wymagania dotyczące robót podano w OST D-M-00.00.00 „Wymagania ogólne” pkt 1.5.</w:t>
      </w:r>
    </w:p>
    <w:p w:rsidR="00CD292D" w:rsidRDefault="00CD292D" w:rsidP="00CD292D">
      <w:pPr>
        <w:pStyle w:val="Nagwek1"/>
        <w:spacing w:before="120"/>
        <w:rPr>
          <w:color w:val="0000FF"/>
        </w:rPr>
      </w:pPr>
      <w:bookmarkStart w:id="234" w:name="_2._materiały_3"/>
      <w:bookmarkStart w:id="235" w:name="_Toc407069666"/>
      <w:bookmarkStart w:id="236" w:name="_Toc407081631"/>
      <w:bookmarkStart w:id="237" w:name="_Toc407081774"/>
      <w:bookmarkStart w:id="238" w:name="_Toc407083430"/>
      <w:bookmarkStart w:id="239" w:name="_Toc407084264"/>
      <w:bookmarkStart w:id="240" w:name="_Toc407085383"/>
      <w:bookmarkStart w:id="241" w:name="_Toc407085526"/>
      <w:bookmarkStart w:id="242" w:name="_Toc407085669"/>
      <w:bookmarkStart w:id="243" w:name="_Toc407086117"/>
      <w:bookmarkEnd w:id="234"/>
      <w:r>
        <w:rPr>
          <w:color w:val="0000FF"/>
        </w:rPr>
        <w:t>2. materiały</w:t>
      </w:r>
      <w:bookmarkEnd w:id="235"/>
      <w:bookmarkEnd w:id="236"/>
      <w:bookmarkEnd w:id="237"/>
      <w:bookmarkEnd w:id="238"/>
      <w:bookmarkEnd w:id="239"/>
      <w:bookmarkEnd w:id="240"/>
      <w:bookmarkEnd w:id="241"/>
      <w:bookmarkEnd w:id="242"/>
      <w:bookmarkEnd w:id="243"/>
    </w:p>
    <w:p w:rsidR="00CD292D" w:rsidRDefault="00CD292D" w:rsidP="00CD292D">
      <w:pPr>
        <w:pStyle w:val="Nagwek2"/>
        <w:spacing w:before="0"/>
      </w:pPr>
      <w:bookmarkStart w:id="244" w:name="_Toc407069667"/>
      <w:bookmarkStart w:id="245" w:name="_Toc407081632"/>
      <w:bookmarkStart w:id="246" w:name="_Toc407081775"/>
      <w:bookmarkStart w:id="247" w:name="_Toc407083431"/>
      <w:bookmarkStart w:id="248" w:name="_Toc407084265"/>
      <w:bookmarkStart w:id="249" w:name="_Toc407085384"/>
      <w:bookmarkStart w:id="250" w:name="_Toc407085527"/>
      <w:bookmarkStart w:id="251" w:name="_Toc407085670"/>
      <w:bookmarkStart w:id="252" w:name="_Toc407086118"/>
      <w:r>
        <w:t>2.1. Ogólne wymagania dotyczące materiałów</w:t>
      </w:r>
      <w:bookmarkEnd w:id="244"/>
      <w:bookmarkEnd w:id="245"/>
      <w:bookmarkEnd w:id="246"/>
      <w:bookmarkEnd w:id="247"/>
      <w:bookmarkEnd w:id="248"/>
      <w:bookmarkEnd w:id="249"/>
      <w:bookmarkEnd w:id="250"/>
      <w:bookmarkEnd w:id="251"/>
      <w:bookmarkEnd w:id="252"/>
    </w:p>
    <w:p w:rsidR="00CD292D" w:rsidRDefault="00CD292D" w:rsidP="00CD292D">
      <w:pPr>
        <w:jc w:val="both"/>
        <w:rPr>
          <w:sz w:val="20"/>
        </w:rPr>
      </w:pPr>
      <w:r>
        <w:rPr>
          <w:sz w:val="20"/>
        </w:rPr>
        <w:tab/>
        <w:t>Ogólne wymagania dotyczące materiałów, ich pozyskiwania i składowania, podano w OST D-M-00.00.00 „Wymagania ogólne” pkt 2.</w:t>
      </w:r>
    </w:p>
    <w:p w:rsidR="00CD292D" w:rsidRDefault="00CD292D" w:rsidP="00CD292D">
      <w:pPr>
        <w:pStyle w:val="Nagwek2"/>
      </w:pPr>
      <w:bookmarkStart w:id="253" w:name="_Toc407069668"/>
      <w:bookmarkStart w:id="254" w:name="_Toc407081633"/>
      <w:bookmarkStart w:id="255" w:name="_Toc407081776"/>
      <w:bookmarkStart w:id="256" w:name="_Toc407083432"/>
      <w:bookmarkStart w:id="257" w:name="_Toc407084266"/>
      <w:bookmarkStart w:id="258" w:name="_Toc407085385"/>
      <w:bookmarkStart w:id="259" w:name="_Toc407085528"/>
      <w:bookmarkStart w:id="260" w:name="_Toc407085671"/>
      <w:bookmarkStart w:id="261" w:name="_Toc407086119"/>
      <w:r>
        <w:t>2.2. Rodzaje materiałów do wykonania skropienia</w:t>
      </w:r>
      <w:bookmarkEnd w:id="253"/>
      <w:bookmarkEnd w:id="254"/>
      <w:bookmarkEnd w:id="255"/>
      <w:bookmarkEnd w:id="256"/>
      <w:bookmarkEnd w:id="257"/>
      <w:bookmarkEnd w:id="258"/>
      <w:bookmarkEnd w:id="259"/>
      <w:bookmarkEnd w:id="260"/>
      <w:bookmarkEnd w:id="261"/>
    </w:p>
    <w:p w:rsidR="00CD292D" w:rsidRDefault="00CD292D" w:rsidP="00CD292D">
      <w:pPr>
        <w:jc w:val="both"/>
        <w:rPr>
          <w:sz w:val="20"/>
        </w:rPr>
      </w:pPr>
      <w:r>
        <w:rPr>
          <w:sz w:val="20"/>
        </w:rPr>
        <w:tab/>
        <w:t>Materiałami stosowanymi przy skropieniu warstw konstrukcyjnych nawierzchni są:</w:t>
      </w:r>
    </w:p>
    <w:p w:rsidR="00CD292D" w:rsidRDefault="00CD292D" w:rsidP="00CD292D">
      <w:pPr>
        <w:jc w:val="both"/>
        <w:rPr>
          <w:sz w:val="20"/>
        </w:rPr>
      </w:pPr>
      <w:r>
        <w:rPr>
          <w:sz w:val="20"/>
        </w:rPr>
        <w:t>a) do skropienia podbudowy nieasfaltowej:</w:t>
      </w:r>
    </w:p>
    <w:p w:rsidR="00CD292D" w:rsidRDefault="00CD292D" w:rsidP="00CD292D">
      <w:pPr>
        <w:numPr>
          <w:ilvl w:val="0"/>
          <w:numId w:val="5"/>
        </w:numPr>
        <w:spacing w:after="0" w:line="240" w:lineRule="auto"/>
        <w:jc w:val="both"/>
        <w:rPr>
          <w:sz w:val="20"/>
        </w:rPr>
      </w:pPr>
      <w:r>
        <w:rPr>
          <w:sz w:val="20"/>
        </w:rPr>
        <w:t>kationowe emulsje średniorozpadowe wg WT.EmA-1994 [5],</w:t>
      </w:r>
    </w:p>
    <w:p w:rsidR="00CD292D" w:rsidRDefault="00CD292D" w:rsidP="00CD292D">
      <w:pPr>
        <w:numPr>
          <w:ilvl w:val="0"/>
          <w:numId w:val="5"/>
        </w:numPr>
        <w:spacing w:after="0" w:line="240" w:lineRule="auto"/>
        <w:jc w:val="both"/>
        <w:rPr>
          <w:sz w:val="20"/>
        </w:rPr>
      </w:pPr>
      <w:r>
        <w:rPr>
          <w:sz w:val="20"/>
        </w:rPr>
        <w:t>upłynnione asfalty średnioodparowalne wg PN-C-96173 [3];</w:t>
      </w:r>
    </w:p>
    <w:p w:rsidR="00CD292D" w:rsidRDefault="00CD292D" w:rsidP="00CD292D">
      <w:pPr>
        <w:jc w:val="both"/>
        <w:rPr>
          <w:sz w:val="20"/>
        </w:rPr>
      </w:pPr>
      <w:r>
        <w:rPr>
          <w:sz w:val="20"/>
        </w:rPr>
        <w:t>b) do skropienia podbudów asfaltowych i warstw z mieszanek mineralno-asfaltowych:</w:t>
      </w:r>
    </w:p>
    <w:p w:rsidR="00CD292D" w:rsidRDefault="00CD292D" w:rsidP="00CD292D">
      <w:pPr>
        <w:numPr>
          <w:ilvl w:val="0"/>
          <w:numId w:val="5"/>
        </w:numPr>
        <w:spacing w:after="0" w:line="240" w:lineRule="auto"/>
        <w:jc w:val="both"/>
        <w:rPr>
          <w:sz w:val="20"/>
        </w:rPr>
      </w:pPr>
      <w:r>
        <w:rPr>
          <w:sz w:val="20"/>
        </w:rPr>
        <w:t>kationowe emulsje szybkorozpadowe wg WT.EmA-1994 [5],</w:t>
      </w:r>
    </w:p>
    <w:p w:rsidR="00CD292D" w:rsidRDefault="00CD292D" w:rsidP="00CD292D">
      <w:pPr>
        <w:numPr>
          <w:ilvl w:val="0"/>
          <w:numId w:val="5"/>
        </w:numPr>
        <w:spacing w:after="0" w:line="240" w:lineRule="auto"/>
        <w:jc w:val="both"/>
        <w:rPr>
          <w:sz w:val="20"/>
        </w:rPr>
      </w:pPr>
      <w:r>
        <w:rPr>
          <w:sz w:val="20"/>
        </w:rPr>
        <w:t>upłynnione asfalty szybkoodparowywalne wg PN-C-96173 [3],</w:t>
      </w:r>
    </w:p>
    <w:p w:rsidR="00CD292D" w:rsidRDefault="00CD292D" w:rsidP="00CD292D">
      <w:pPr>
        <w:numPr>
          <w:ilvl w:val="0"/>
          <w:numId w:val="5"/>
        </w:numPr>
        <w:spacing w:after="0" w:line="240" w:lineRule="auto"/>
        <w:jc w:val="both"/>
        <w:rPr>
          <w:sz w:val="20"/>
        </w:rPr>
      </w:pPr>
      <w:r>
        <w:rPr>
          <w:sz w:val="20"/>
        </w:rPr>
        <w:lastRenderedPageBreak/>
        <w:t>asfalty drogowe D 200 lub D 300 wg PN-C-96170 [2], za zgodą Inżyniera.</w:t>
      </w:r>
    </w:p>
    <w:p w:rsidR="00CD292D" w:rsidRDefault="00CD292D" w:rsidP="00CD292D">
      <w:pPr>
        <w:pStyle w:val="Nagwek2"/>
      </w:pPr>
      <w:bookmarkStart w:id="262" w:name="_Toc407069669"/>
      <w:bookmarkStart w:id="263" w:name="_Toc407081634"/>
      <w:bookmarkStart w:id="264" w:name="_Toc407081777"/>
      <w:bookmarkStart w:id="265" w:name="_Toc407083433"/>
      <w:bookmarkStart w:id="266" w:name="_Toc407084267"/>
      <w:bookmarkStart w:id="267" w:name="_Toc407085386"/>
      <w:bookmarkStart w:id="268" w:name="_Toc407085529"/>
      <w:bookmarkStart w:id="269" w:name="_Toc407085672"/>
      <w:bookmarkStart w:id="270" w:name="_Toc407086120"/>
      <w:r>
        <w:t>2.3. Wymagania dla materiałów</w:t>
      </w:r>
      <w:bookmarkEnd w:id="262"/>
      <w:bookmarkEnd w:id="263"/>
      <w:bookmarkEnd w:id="264"/>
      <w:bookmarkEnd w:id="265"/>
      <w:bookmarkEnd w:id="266"/>
      <w:bookmarkEnd w:id="267"/>
      <w:bookmarkEnd w:id="268"/>
      <w:bookmarkEnd w:id="269"/>
      <w:bookmarkEnd w:id="270"/>
    </w:p>
    <w:p w:rsidR="00CD292D" w:rsidRDefault="00CD292D" w:rsidP="00CD292D">
      <w:pPr>
        <w:jc w:val="both"/>
        <w:rPr>
          <w:sz w:val="20"/>
        </w:rPr>
      </w:pPr>
      <w:r>
        <w:rPr>
          <w:sz w:val="20"/>
        </w:rPr>
        <w:tab/>
        <w:t>Wymagania dla kationowej emulsji asfaltowej podano w EmA-94 [5].</w:t>
      </w:r>
    </w:p>
    <w:p w:rsidR="00CD292D" w:rsidRDefault="00CD292D" w:rsidP="00CD292D">
      <w:pPr>
        <w:jc w:val="both"/>
        <w:rPr>
          <w:sz w:val="20"/>
        </w:rPr>
      </w:pPr>
      <w:r>
        <w:rPr>
          <w:sz w:val="20"/>
        </w:rPr>
        <w:tab/>
        <w:t>Wymagania dla asfaltów drogowych podano w PN-C-96170 [2].</w:t>
      </w:r>
    </w:p>
    <w:p w:rsidR="00CD292D" w:rsidRDefault="00CD292D" w:rsidP="00CD292D">
      <w:pPr>
        <w:pStyle w:val="Nagwek2"/>
      </w:pPr>
      <w:bookmarkStart w:id="271" w:name="_Toc407069670"/>
      <w:bookmarkStart w:id="272" w:name="_Toc407081635"/>
      <w:bookmarkStart w:id="273" w:name="_Toc407081778"/>
      <w:bookmarkStart w:id="274" w:name="_Toc407083434"/>
      <w:bookmarkStart w:id="275" w:name="_Toc407084268"/>
      <w:bookmarkStart w:id="276" w:name="_Toc407085387"/>
      <w:bookmarkStart w:id="277" w:name="_Toc407085530"/>
      <w:bookmarkStart w:id="278" w:name="_Toc407085673"/>
      <w:bookmarkStart w:id="279" w:name="_Toc407086121"/>
      <w:r>
        <w:t>2.4. Zużycie lepiszczy do skropienia</w:t>
      </w:r>
      <w:bookmarkEnd w:id="271"/>
      <w:bookmarkEnd w:id="272"/>
      <w:bookmarkEnd w:id="273"/>
      <w:bookmarkEnd w:id="274"/>
      <w:bookmarkEnd w:id="275"/>
      <w:bookmarkEnd w:id="276"/>
      <w:bookmarkEnd w:id="277"/>
      <w:bookmarkEnd w:id="278"/>
      <w:bookmarkEnd w:id="279"/>
    </w:p>
    <w:p w:rsidR="00CD292D" w:rsidRDefault="00CD292D" w:rsidP="00CD292D">
      <w:pPr>
        <w:jc w:val="both"/>
        <w:rPr>
          <w:sz w:val="20"/>
        </w:rPr>
      </w:pPr>
      <w:r>
        <w:rPr>
          <w:sz w:val="20"/>
        </w:rPr>
        <w:tab/>
        <w:t>Orientacyjne zużycie lepiszczy do skropienia warstw konstrukcyjnych nawierzchni podano w tablicy 1.</w:t>
      </w:r>
    </w:p>
    <w:p w:rsidR="00CD292D" w:rsidRDefault="00CD292D" w:rsidP="00CD292D">
      <w:pPr>
        <w:spacing w:before="120" w:after="120"/>
        <w:ind w:left="1134" w:hanging="1134"/>
        <w:rPr>
          <w:sz w:val="20"/>
        </w:rPr>
      </w:pPr>
      <w:r>
        <w:rPr>
          <w:sz w:val="20"/>
        </w:rP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4252"/>
        <w:gridCol w:w="2762"/>
      </w:tblGrid>
      <w:tr w:rsidR="00CD292D" w:rsidTr="00CD292D">
        <w:tc>
          <w:tcPr>
            <w:tcW w:w="496"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rPr>
                <w:sz w:val="20"/>
              </w:rPr>
            </w:pPr>
            <w:r>
              <w:rPr>
                <w:sz w:val="20"/>
              </w:rPr>
              <w:t>Lp.</w:t>
            </w:r>
          </w:p>
        </w:tc>
        <w:tc>
          <w:tcPr>
            <w:tcW w:w="4252"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rPr>
                <w:sz w:val="20"/>
              </w:rPr>
            </w:pPr>
            <w:r>
              <w:rPr>
                <w:sz w:val="20"/>
              </w:rPr>
              <w:t>Rodzaj lepiszcza</w:t>
            </w:r>
          </w:p>
        </w:tc>
        <w:tc>
          <w:tcPr>
            <w:tcW w:w="2762"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rPr>
                <w:sz w:val="20"/>
              </w:rPr>
            </w:pPr>
            <w:r>
              <w:rPr>
                <w:sz w:val="20"/>
              </w:rPr>
              <w:t>Zużycie (kg/m</w:t>
            </w:r>
            <w:r>
              <w:rPr>
                <w:sz w:val="20"/>
                <w:vertAlign w:val="superscript"/>
              </w:rPr>
              <w:t>2</w:t>
            </w:r>
            <w:r>
              <w:rPr>
                <w:sz w:val="20"/>
              </w:rPr>
              <w:t>)</w:t>
            </w:r>
          </w:p>
        </w:tc>
      </w:tr>
      <w:tr w:rsidR="00CD292D" w:rsidTr="00CD292D">
        <w:tc>
          <w:tcPr>
            <w:tcW w:w="496" w:type="dxa"/>
            <w:tcBorders>
              <w:top w:val="nil"/>
              <w:left w:val="single" w:sz="6" w:space="0" w:color="auto"/>
              <w:bottom w:val="single" w:sz="6" w:space="0" w:color="auto"/>
              <w:right w:val="single" w:sz="6" w:space="0" w:color="auto"/>
            </w:tcBorders>
            <w:noWrap/>
            <w:hideMark/>
          </w:tcPr>
          <w:p w:rsidR="00CD292D" w:rsidRDefault="00CD292D">
            <w:pPr>
              <w:spacing w:before="60" w:after="60"/>
              <w:jc w:val="center"/>
              <w:rPr>
                <w:sz w:val="20"/>
              </w:rPr>
            </w:pPr>
            <w:r>
              <w:rPr>
                <w:sz w:val="20"/>
              </w:rPr>
              <w:t>1</w:t>
            </w:r>
          </w:p>
          <w:p w:rsidR="00CD292D" w:rsidRDefault="00CD292D">
            <w:pPr>
              <w:spacing w:before="60" w:after="60"/>
              <w:jc w:val="center"/>
              <w:rPr>
                <w:sz w:val="20"/>
              </w:rPr>
            </w:pPr>
            <w:r>
              <w:rPr>
                <w:sz w:val="20"/>
              </w:rPr>
              <w:t>2</w:t>
            </w:r>
          </w:p>
        </w:tc>
        <w:tc>
          <w:tcPr>
            <w:tcW w:w="4252" w:type="dxa"/>
            <w:tcBorders>
              <w:top w:val="nil"/>
              <w:left w:val="single" w:sz="6" w:space="0" w:color="auto"/>
              <w:bottom w:val="single" w:sz="6" w:space="0" w:color="auto"/>
              <w:right w:val="single" w:sz="6" w:space="0" w:color="auto"/>
            </w:tcBorders>
            <w:noWrap/>
            <w:hideMark/>
          </w:tcPr>
          <w:p w:rsidR="00CD292D" w:rsidRDefault="00CD292D">
            <w:pPr>
              <w:spacing w:before="60" w:after="60"/>
              <w:rPr>
                <w:sz w:val="20"/>
              </w:rPr>
            </w:pPr>
            <w:r>
              <w:rPr>
                <w:sz w:val="20"/>
              </w:rPr>
              <w:t>Emulsja asfaltowa kationowa</w:t>
            </w:r>
          </w:p>
          <w:p w:rsidR="00CD292D" w:rsidRDefault="00CD292D">
            <w:pPr>
              <w:spacing w:before="60" w:after="60"/>
              <w:rPr>
                <w:sz w:val="20"/>
              </w:rPr>
            </w:pPr>
            <w:r>
              <w:rPr>
                <w:sz w:val="20"/>
              </w:rPr>
              <w:t>Asfalt drogowy D 200, D 300</w:t>
            </w:r>
          </w:p>
        </w:tc>
        <w:tc>
          <w:tcPr>
            <w:tcW w:w="2762" w:type="dxa"/>
            <w:tcBorders>
              <w:top w:val="nil"/>
              <w:left w:val="single" w:sz="6" w:space="0" w:color="auto"/>
              <w:bottom w:val="single" w:sz="6" w:space="0" w:color="auto"/>
              <w:right w:val="single" w:sz="6" w:space="0" w:color="auto"/>
            </w:tcBorders>
            <w:noWrap/>
            <w:hideMark/>
          </w:tcPr>
          <w:p w:rsidR="00CD292D" w:rsidRDefault="00CD292D">
            <w:pPr>
              <w:spacing w:before="60" w:after="60"/>
              <w:jc w:val="center"/>
              <w:rPr>
                <w:sz w:val="20"/>
              </w:rPr>
            </w:pPr>
            <w:r>
              <w:rPr>
                <w:sz w:val="20"/>
              </w:rPr>
              <w:t>od 0,4  do  1,2</w:t>
            </w:r>
          </w:p>
          <w:p w:rsidR="00CD292D" w:rsidRDefault="00CD292D">
            <w:pPr>
              <w:spacing w:before="60" w:after="60"/>
              <w:jc w:val="center"/>
              <w:rPr>
                <w:sz w:val="20"/>
              </w:rPr>
            </w:pPr>
            <w:r>
              <w:rPr>
                <w:sz w:val="20"/>
              </w:rPr>
              <w:t>od 0,4  do  0,6</w:t>
            </w:r>
          </w:p>
        </w:tc>
      </w:tr>
    </w:tbl>
    <w:p w:rsidR="00CD292D" w:rsidRDefault="00CD292D" w:rsidP="00CD292D">
      <w:pPr>
        <w:rPr>
          <w:sz w:val="20"/>
        </w:rPr>
      </w:pPr>
    </w:p>
    <w:p w:rsidR="00CD292D" w:rsidRDefault="00CD292D" w:rsidP="00CD292D">
      <w:pPr>
        <w:jc w:val="both"/>
        <w:rPr>
          <w:sz w:val="20"/>
        </w:rPr>
      </w:pPr>
      <w:r>
        <w:rPr>
          <w:sz w:val="20"/>
        </w:rPr>
        <w:tab/>
        <w:t>Dokładne zużycie lepiszczy powinno być ustalone w zależności od rodzaju warstwy i stanu jej powierzchni i zaakceptowane przez Inżyniera.</w:t>
      </w:r>
    </w:p>
    <w:p w:rsidR="00CD292D" w:rsidRDefault="00CD292D" w:rsidP="00CD292D">
      <w:pPr>
        <w:pStyle w:val="Nagwek2"/>
      </w:pPr>
      <w:bookmarkStart w:id="280" w:name="_Toc407069671"/>
      <w:bookmarkStart w:id="281" w:name="_Toc407081636"/>
      <w:bookmarkStart w:id="282" w:name="_Toc407081779"/>
      <w:bookmarkStart w:id="283" w:name="_Toc407083435"/>
      <w:bookmarkStart w:id="284" w:name="_Toc407084269"/>
      <w:bookmarkStart w:id="285" w:name="_Toc407085388"/>
      <w:bookmarkStart w:id="286" w:name="_Toc407085531"/>
      <w:bookmarkStart w:id="287" w:name="_Toc407085674"/>
      <w:bookmarkStart w:id="288" w:name="_Toc407086122"/>
      <w:r>
        <w:t>2.5. Składowanie lepiszczy</w:t>
      </w:r>
      <w:bookmarkEnd w:id="280"/>
      <w:bookmarkEnd w:id="281"/>
      <w:bookmarkEnd w:id="282"/>
      <w:bookmarkEnd w:id="283"/>
      <w:bookmarkEnd w:id="284"/>
      <w:bookmarkEnd w:id="285"/>
      <w:bookmarkEnd w:id="286"/>
      <w:bookmarkEnd w:id="287"/>
      <w:bookmarkEnd w:id="288"/>
    </w:p>
    <w:p w:rsidR="00CD292D" w:rsidRDefault="00CD292D" w:rsidP="00CD292D">
      <w:pPr>
        <w:jc w:val="both"/>
        <w:rPr>
          <w:sz w:val="20"/>
        </w:rPr>
      </w:pPr>
      <w:r>
        <w:rPr>
          <w:sz w:val="20"/>
        </w:rPr>
        <w:tab/>
        <w:t>Warunki przechowywania nie mogą powodować utraty cech lepiszcza i obniżenia jego jakości.</w:t>
      </w:r>
    </w:p>
    <w:p w:rsidR="00CD292D" w:rsidRDefault="00CD292D" w:rsidP="00CD292D">
      <w:pPr>
        <w:jc w:val="both"/>
        <w:rPr>
          <w:sz w:val="20"/>
        </w:rPr>
      </w:pPr>
      <w:r>
        <w:rPr>
          <w:sz w:val="20"/>
        </w:rP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CD292D" w:rsidRDefault="00CD292D" w:rsidP="00CD292D">
      <w:pPr>
        <w:jc w:val="both"/>
        <w:rPr>
          <w:sz w:val="20"/>
        </w:rPr>
      </w:pPr>
      <w:r>
        <w:rPr>
          <w:sz w:val="20"/>
        </w:rPr>
        <w:tab/>
        <w:t>Emulsję można magazynować w opakowaniach transportowych lub stacjonarnych zbiornikach pionowych z nalewaniem od dna.</w:t>
      </w:r>
    </w:p>
    <w:p w:rsidR="00CD292D" w:rsidRDefault="00CD292D" w:rsidP="00CD292D">
      <w:pPr>
        <w:jc w:val="both"/>
        <w:rPr>
          <w:sz w:val="20"/>
        </w:rPr>
      </w:pPr>
      <w:r>
        <w:rPr>
          <w:sz w:val="20"/>
        </w:rPr>
        <w:tab/>
        <w:t>Nie należy stosować zbiornika walcowego leżącego, ze względu na tworzenie się na dużej powierzchni cieczy „kożucha” asfaltowego zatykającego później przewody.</w:t>
      </w:r>
    </w:p>
    <w:p w:rsidR="00CD292D" w:rsidRDefault="00CD292D" w:rsidP="00CD292D">
      <w:pPr>
        <w:jc w:val="both"/>
        <w:rPr>
          <w:sz w:val="20"/>
        </w:rPr>
      </w:pPr>
      <w:r>
        <w:rPr>
          <w:sz w:val="20"/>
        </w:rPr>
        <w:tab/>
        <w:t>Przy przechowywaniu emulsji asfaltowej należy przestrzegać zasad ustalonych przez producenta.</w:t>
      </w:r>
    </w:p>
    <w:p w:rsidR="00CD292D" w:rsidRDefault="00CD292D" w:rsidP="00CD292D">
      <w:pPr>
        <w:pStyle w:val="Nagwek1"/>
        <w:rPr>
          <w:color w:val="0000FF"/>
        </w:rPr>
      </w:pPr>
      <w:bookmarkStart w:id="289" w:name="_Toc407069672"/>
      <w:bookmarkStart w:id="290" w:name="_Toc407081637"/>
      <w:bookmarkStart w:id="291" w:name="_Toc407081780"/>
      <w:bookmarkStart w:id="292" w:name="_Toc407083436"/>
      <w:bookmarkStart w:id="293" w:name="_Toc407084270"/>
      <w:bookmarkStart w:id="294" w:name="_Toc407085389"/>
      <w:bookmarkStart w:id="295" w:name="_Toc407085532"/>
      <w:bookmarkStart w:id="296" w:name="_Toc407085675"/>
      <w:bookmarkStart w:id="297" w:name="_Toc407086123"/>
      <w:r>
        <w:rPr>
          <w:color w:val="0000FF"/>
        </w:rPr>
        <w:t>3. sprzęt</w:t>
      </w:r>
      <w:bookmarkEnd w:id="289"/>
      <w:bookmarkEnd w:id="290"/>
      <w:bookmarkEnd w:id="291"/>
      <w:bookmarkEnd w:id="292"/>
      <w:bookmarkEnd w:id="293"/>
      <w:bookmarkEnd w:id="294"/>
      <w:bookmarkEnd w:id="295"/>
      <w:bookmarkEnd w:id="296"/>
      <w:bookmarkEnd w:id="297"/>
    </w:p>
    <w:p w:rsidR="00CD292D" w:rsidRDefault="00CD292D" w:rsidP="00CD292D">
      <w:pPr>
        <w:pStyle w:val="Nagwek2"/>
      </w:pPr>
      <w:bookmarkStart w:id="298" w:name="_Toc407069673"/>
      <w:bookmarkStart w:id="299" w:name="_Toc407081638"/>
      <w:bookmarkStart w:id="300" w:name="_Toc407081781"/>
      <w:bookmarkStart w:id="301" w:name="_Toc407083437"/>
      <w:bookmarkStart w:id="302" w:name="_Toc407084271"/>
      <w:bookmarkStart w:id="303" w:name="_Toc407085390"/>
      <w:bookmarkStart w:id="304" w:name="_Toc407085533"/>
      <w:bookmarkStart w:id="305" w:name="_Toc407085676"/>
      <w:bookmarkStart w:id="306" w:name="_Toc407086124"/>
      <w:r>
        <w:t>3.1. Ogólne wymagania dotyczące sprzętu</w:t>
      </w:r>
      <w:bookmarkEnd w:id="298"/>
      <w:bookmarkEnd w:id="299"/>
      <w:bookmarkEnd w:id="300"/>
      <w:bookmarkEnd w:id="301"/>
      <w:bookmarkEnd w:id="302"/>
      <w:bookmarkEnd w:id="303"/>
      <w:bookmarkEnd w:id="304"/>
      <w:bookmarkEnd w:id="305"/>
      <w:bookmarkEnd w:id="306"/>
    </w:p>
    <w:p w:rsidR="00CD292D" w:rsidRDefault="00CD292D" w:rsidP="00CD292D">
      <w:pPr>
        <w:jc w:val="both"/>
        <w:rPr>
          <w:sz w:val="20"/>
        </w:rPr>
      </w:pPr>
      <w:r>
        <w:rPr>
          <w:sz w:val="20"/>
        </w:rPr>
        <w:tab/>
        <w:t>Ogólne wymagania dotyczące sprzętu podano w OST D-M-00.00.00 „Wymagania ogólne” pkt 3.</w:t>
      </w:r>
    </w:p>
    <w:p w:rsidR="00CD292D" w:rsidRDefault="00CD292D" w:rsidP="00CD292D">
      <w:pPr>
        <w:pStyle w:val="Nagwek2"/>
      </w:pPr>
      <w:bookmarkStart w:id="307" w:name="_Toc407069674"/>
      <w:bookmarkStart w:id="308" w:name="_Toc407081639"/>
      <w:bookmarkStart w:id="309" w:name="_Toc407081782"/>
      <w:bookmarkStart w:id="310" w:name="_Toc407083438"/>
      <w:bookmarkStart w:id="311" w:name="_Toc407084272"/>
      <w:bookmarkStart w:id="312" w:name="_Toc407085391"/>
      <w:bookmarkStart w:id="313" w:name="_Toc407085534"/>
      <w:bookmarkStart w:id="314" w:name="_Toc407085677"/>
      <w:bookmarkStart w:id="315" w:name="_Toc407086125"/>
      <w:r>
        <w:t>3.2. Sprzęt do oczyszczania warstw nawierzchni</w:t>
      </w:r>
      <w:bookmarkEnd w:id="307"/>
      <w:bookmarkEnd w:id="308"/>
      <w:bookmarkEnd w:id="309"/>
      <w:bookmarkEnd w:id="310"/>
      <w:bookmarkEnd w:id="311"/>
      <w:bookmarkEnd w:id="312"/>
      <w:bookmarkEnd w:id="313"/>
      <w:bookmarkEnd w:id="314"/>
      <w:bookmarkEnd w:id="315"/>
    </w:p>
    <w:p w:rsidR="00CD292D" w:rsidRDefault="00CD292D" w:rsidP="00CD292D">
      <w:pPr>
        <w:jc w:val="both"/>
        <w:rPr>
          <w:sz w:val="20"/>
        </w:rPr>
      </w:pPr>
      <w:r>
        <w:rPr>
          <w:sz w:val="20"/>
        </w:rPr>
        <w:tab/>
        <w:t>Wykonawca przystępujący do oczyszczania warstw nawierzchni, powinien wykazać się możliwością korzystania z następującego sprzętu:</w:t>
      </w:r>
    </w:p>
    <w:p w:rsidR="00CD292D" w:rsidRDefault="00CD292D" w:rsidP="00CD292D">
      <w:pPr>
        <w:numPr>
          <w:ilvl w:val="0"/>
          <w:numId w:val="5"/>
        </w:numPr>
        <w:spacing w:after="0" w:line="240" w:lineRule="auto"/>
        <w:jc w:val="both"/>
        <w:rPr>
          <w:sz w:val="20"/>
        </w:rPr>
      </w:pPr>
      <w:r>
        <w:rPr>
          <w:sz w:val="20"/>
        </w:rPr>
        <w:t>szczotek mechanicznych,</w:t>
      </w:r>
    </w:p>
    <w:p w:rsidR="00CD292D" w:rsidRDefault="00CD292D" w:rsidP="00CD292D">
      <w:pPr>
        <w:jc w:val="both"/>
        <w:rPr>
          <w:sz w:val="20"/>
        </w:rPr>
      </w:pPr>
      <w:r>
        <w:rPr>
          <w:sz w:val="20"/>
        </w:rP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CD292D" w:rsidRDefault="00CD292D" w:rsidP="00CD292D">
      <w:pPr>
        <w:numPr>
          <w:ilvl w:val="0"/>
          <w:numId w:val="5"/>
        </w:numPr>
        <w:spacing w:after="0" w:line="240" w:lineRule="auto"/>
        <w:jc w:val="both"/>
        <w:rPr>
          <w:sz w:val="20"/>
        </w:rPr>
      </w:pPr>
      <w:r>
        <w:rPr>
          <w:sz w:val="20"/>
        </w:rPr>
        <w:t>sprężarek,</w:t>
      </w:r>
    </w:p>
    <w:p w:rsidR="00CD292D" w:rsidRDefault="00CD292D" w:rsidP="00CD292D">
      <w:pPr>
        <w:numPr>
          <w:ilvl w:val="0"/>
          <w:numId w:val="5"/>
        </w:numPr>
        <w:spacing w:after="0" w:line="240" w:lineRule="auto"/>
        <w:jc w:val="both"/>
        <w:rPr>
          <w:sz w:val="20"/>
        </w:rPr>
      </w:pPr>
      <w:r>
        <w:rPr>
          <w:sz w:val="20"/>
        </w:rPr>
        <w:t>zbiorników z wodą,</w:t>
      </w:r>
    </w:p>
    <w:p w:rsidR="00CD292D" w:rsidRDefault="00CD292D" w:rsidP="00CD292D">
      <w:pPr>
        <w:numPr>
          <w:ilvl w:val="0"/>
          <w:numId w:val="5"/>
        </w:numPr>
        <w:spacing w:after="0" w:line="240" w:lineRule="auto"/>
        <w:jc w:val="both"/>
        <w:rPr>
          <w:sz w:val="20"/>
        </w:rPr>
      </w:pPr>
      <w:r>
        <w:rPr>
          <w:sz w:val="20"/>
        </w:rPr>
        <w:t>szczotek ręcznych.</w:t>
      </w:r>
    </w:p>
    <w:p w:rsidR="00CD292D" w:rsidRDefault="00CD292D" w:rsidP="00CD292D">
      <w:pPr>
        <w:pStyle w:val="Nagwek2"/>
      </w:pPr>
      <w:bookmarkStart w:id="316" w:name="_Toc407069675"/>
      <w:bookmarkStart w:id="317" w:name="_Toc407081640"/>
      <w:bookmarkStart w:id="318" w:name="_Toc407081783"/>
      <w:bookmarkStart w:id="319" w:name="_Toc407083439"/>
      <w:bookmarkStart w:id="320" w:name="_Toc407084273"/>
      <w:bookmarkStart w:id="321" w:name="_Toc407085392"/>
      <w:bookmarkStart w:id="322" w:name="_Toc407085535"/>
      <w:bookmarkStart w:id="323" w:name="_Toc407085678"/>
      <w:bookmarkStart w:id="324" w:name="_Toc407086126"/>
      <w:r>
        <w:lastRenderedPageBreak/>
        <w:t>3.3. Sprzęt do skrapiania warstw nawierzchni</w:t>
      </w:r>
      <w:bookmarkEnd w:id="316"/>
      <w:bookmarkEnd w:id="317"/>
      <w:bookmarkEnd w:id="318"/>
      <w:bookmarkEnd w:id="319"/>
      <w:bookmarkEnd w:id="320"/>
      <w:bookmarkEnd w:id="321"/>
      <w:bookmarkEnd w:id="322"/>
      <w:bookmarkEnd w:id="323"/>
      <w:bookmarkEnd w:id="324"/>
    </w:p>
    <w:p w:rsidR="00CD292D" w:rsidRDefault="00CD292D" w:rsidP="00CD292D">
      <w:pPr>
        <w:jc w:val="both"/>
        <w:rPr>
          <w:sz w:val="20"/>
        </w:rPr>
      </w:pPr>
      <w:r>
        <w:rPr>
          <w:sz w:val="20"/>
        </w:rPr>
        <w:tab/>
        <w:t>Do skrapiania warstw nawierzchni należy używać skrapiarkę lepiszcza. Skrapiarka powinna być wyposażona w urządzenia pomiarowo-kontrolne pozwalające na sprawdzanie i regulowanie następujących parametrów:</w:t>
      </w:r>
    </w:p>
    <w:p w:rsidR="00CD292D" w:rsidRDefault="00CD292D" w:rsidP="00CD292D">
      <w:pPr>
        <w:numPr>
          <w:ilvl w:val="0"/>
          <w:numId w:val="5"/>
        </w:numPr>
        <w:spacing w:after="0" w:line="240" w:lineRule="auto"/>
        <w:jc w:val="both"/>
        <w:rPr>
          <w:sz w:val="20"/>
        </w:rPr>
      </w:pPr>
      <w:r>
        <w:rPr>
          <w:sz w:val="20"/>
        </w:rPr>
        <w:t>temperatury rozkładanego lepiszcza,</w:t>
      </w:r>
    </w:p>
    <w:p w:rsidR="00CD292D" w:rsidRDefault="00CD292D" w:rsidP="00CD292D">
      <w:pPr>
        <w:numPr>
          <w:ilvl w:val="0"/>
          <w:numId w:val="5"/>
        </w:numPr>
        <w:spacing w:after="0" w:line="240" w:lineRule="auto"/>
        <w:jc w:val="both"/>
        <w:rPr>
          <w:sz w:val="20"/>
        </w:rPr>
      </w:pPr>
      <w:r>
        <w:rPr>
          <w:sz w:val="20"/>
        </w:rPr>
        <w:t>ciśnienia lepiszcza w kolektorze,</w:t>
      </w:r>
    </w:p>
    <w:p w:rsidR="00CD292D" w:rsidRDefault="00CD292D" w:rsidP="00CD292D">
      <w:pPr>
        <w:numPr>
          <w:ilvl w:val="0"/>
          <w:numId w:val="5"/>
        </w:numPr>
        <w:spacing w:after="0" w:line="240" w:lineRule="auto"/>
        <w:jc w:val="both"/>
        <w:rPr>
          <w:sz w:val="20"/>
        </w:rPr>
      </w:pPr>
      <w:r>
        <w:rPr>
          <w:sz w:val="20"/>
        </w:rPr>
        <w:t>obrotów pompy dozującej lepiszcze,</w:t>
      </w:r>
    </w:p>
    <w:p w:rsidR="00CD292D" w:rsidRDefault="00CD292D" w:rsidP="00CD292D">
      <w:pPr>
        <w:numPr>
          <w:ilvl w:val="0"/>
          <w:numId w:val="5"/>
        </w:numPr>
        <w:spacing w:after="0" w:line="240" w:lineRule="auto"/>
        <w:jc w:val="both"/>
        <w:rPr>
          <w:sz w:val="20"/>
        </w:rPr>
      </w:pPr>
      <w:r>
        <w:rPr>
          <w:sz w:val="20"/>
        </w:rPr>
        <w:t>prędkości poruszania się skrapiarki,</w:t>
      </w:r>
    </w:p>
    <w:p w:rsidR="00CD292D" w:rsidRDefault="00CD292D" w:rsidP="00CD292D">
      <w:pPr>
        <w:numPr>
          <w:ilvl w:val="0"/>
          <w:numId w:val="5"/>
        </w:numPr>
        <w:spacing w:after="0" w:line="240" w:lineRule="auto"/>
        <w:jc w:val="both"/>
        <w:rPr>
          <w:sz w:val="20"/>
        </w:rPr>
      </w:pPr>
      <w:r>
        <w:rPr>
          <w:sz w:val="20"/>
        </w:rPr>
        <w:t>wysokości i długości kolektora do rozkładania lepiszcza,</w:t>
      </w:r>
    </w:p>
    <w:p w:rsidR="00CD292D" w:rsidRDefault="00CD292D" w:rsidP="00CD292D">
      <w:pPr>
        <w:numPr>
          <w:ilvl w:val="0"/>
          <w:numId w:val="5"/>
        </w:numPr>
        <w:spacing w:after="0" w:line="240" w:lineRule="auto"/>
        <w:jc w:val="both"/>
        <w:rPr>
          <w:sz w:val="20"/>
        </w:rPr>
      </w:pPr>
      <w:r>
        <w:rPr>
          <w:sz w:val="20"/>
        </w:rPr>
        <w:t>dozatora lepiszcza.</w:t>
      </w:r>
    </w:p>
    <w:p w:rsidR="00CD292D" w:rsidRDefault="00CD292D" w:rsidP="00CD292D">
      <w:pPr>
        <w:jc w:val="both"/>
        <w:rPr>
          <w:sz w:val="20"/>
        </w:rPr>
      </w:pPr>
      <w:r>
        <w:rPr>
          <w:sz w:val="20"/>
        </w:rPr>
        <w:tab/>
        <w:t>Zbiornik na lepiszcze skrapiarki powinien być izolowany termicznie tak, aby było możliwe zachowanie stałej temperatury lepiszcza.</w:t>
      </w:r>
    </w:p>
    <w:p w:rsidR="00CD292D" w:rsidRDefault="00CD292D" w:rsidP="00CD292D">
      <w:pPr>
        <w:jc w:val="both"/>
        <w:rPr>
          <w:sz w:val="20"/>
        </w:rPr>
      </w:pPr>
      <w:r>
        <w:rPr>
          <w:sz w:val="20"/>
        </w:rPr>
        <w:tab/>
        <w:t>Wykonawca powinien posiadać aktualne świadectwo cechowania skrapiarki.</w:t>
      </w:r>
    </w:p>
    <w:p w:rsidR="00CD292D" w:rsidRDefault="00CD292D" w:rsidP="00CD292D">
      <w:pPr>
        <w:jc w:val="both"/>
        <w:rPr>
          <w:sz w:val="20"/>
        </w:rPr>
      </w:pPr>
      <w:r>
        <w:rPr>
          <w:sz w:val="20"/>
        </w:rPr>
        <w:tab/>
        <w:t xml:space="preserve">Skrapiarka powinna zapewnić rozkładanie lepiszcza z tolerancją </w:t>
      </w:r>
      <w:r>
        <w:rPr>
          <w:sz w:val="20"/>
        </w:rPr>
        <w:sym w:font="Symbol" w:char="F0B1"/>
      </w:r>
      <w:r>
        <w:rPr>
          <w:sz w:val="20"/>
        </w:rPr>
        <w:t xml:space="preserve"> 10% od ilości założonej.</w:t>
      </w:r>
    </w:p>
    <w:p w:rsidR="00CD292D" w:rsidRDefault="00CD292D" w:rsidP="00CD292D">
      <w:pPr>
        <w:pStyle w:val="Nagwek1"/>
        <w:rPr>
          <w:color w:val="0000FF"/>
        </w:rPr>
      </w:pPr>
      <w:bookmarkStart w:id="325" w:name="_Toc407069676"/>
      <w:bookmarkStart w:id="326" w:name="_Toc407081641"/>
      <w:bookmarkStart w:id="327" w:name="_Toc407081784"/>
      <w:bookmarkStart w:id="328" w:name="_Toc407083440"/>
      <w:bookmarkStart w:id="329" w:name="_Toc407084274"/>
      <w:bookmarkStart w:id="330" w:name="_Toc407085393"/>
      <w:bookmarkStart w:id="331" w:name="_Toc407085536"/>
      <w:bookmarkStart w:id="332" w:name="_Toc407085679"/>
      <w:bookmarkStart w:id="333" w:name="_Toc407086127"/>
      <w:r>
        <w:rPr>
          <w:color w:val="0000FF"/>
        </w:rPr>
        <w:t>4. transport</w:t>
      </w:r>
      <w:bookmarkEnd w:id="325"/>
      <w:bookmarkEnd w:id="326"/>
      <w:bookmarkEnd w:id="327"/>
      <w:bookmarkEnd w:id="328"/>
      <w:bookmarkEnd w:id="329"/>
      <w:bookmarkEnd w:id="330"/>
      <w:bookmarkEnd w:id="331"/>
      <w:bookmarkEnd w:id="332"/>
      <w:bookmarkEnd w:id="333"/>
    </w:p>
    <w:p w:rsidR="00CD292D" w:rsidRDefault="00CD292D" w:rsidP="00CD292D">
      <w:pPr>
        <w:pStyle w:val="Nagwek2"/>
      </w:pPr>
      <w:bookmarkStart w:id="334" w:name="_Toc407069677"/>
      <w:bookmarkStart w:id="335" w:name="_Toc407081642"/>
      <w:bookmarkStart w:id="336" w:name="_Toc407081785"/>
      <w:bookmarkStart w:id="337" w:name="_Toc407083441"/>
      <w:bookmarkStart w:id="338" w:name="_Toc407084275"/>
      <w:bookmarkStart w:id="339" w:name="_Toc407085394"/>
      <w:bookmarkStart w:id="340" w:name="_Toc407085537"/>
      <w:bookmarkStart w:id="341" w:name="_Toc407085680"/>
      <w:bookmarkStart w:id="342" w:name="_Toc407086128"/>
      <w:r>
        <w:t>4.1. Ogólne wymagania dotyczące transportu</w:t>
      </w:r>
      <w:bookmarkEnd w:id="334"/>
      <w:bookmarkEnd w:id="335"/>
      <w:bookmarkEnd w:id="336"/>
      <w:bookmarkEnd w:id="337"/>
      <w:bookmarkEnd w:id="338"/>
      <w:bookmarkEnd w:id="339"/>
      <w:bookmarkEnd w:id="340"/>
      <w:bookmarkEnd w:id="341"/>
      <w:bookmarkEnd w:id="342"/>
    </w:p>
    <w:p w:rsidR="00CD292D" w:rsidRDefault="00CD292D" w:rsidP="00CD292D">
      <w:pPr>
        <w:jc w:val="both"/>
        <w:rPr>
          <w:sz w:val="20"/>
        </w:rPr>
      </w:pPr>
      <w:r>
        <w:rPr>
          <w:sz w:val="20"/>
        </w:rPr>
        <w:tab/>
        <w:t>Ogólne wymagania dotyczące transportu podano w OST D-M-00.00.00 „Wymagania ogólne” pkt 4.</w:t>
      </w:r>
    </w:p>
    <w:p w:rsidR="00CD292D" w:rsidRDefault="00CD292D" w:rsidP="00CD292D">
      <w:pPr>
        <w:pStyle w:val="Nagwek2"/>
      </w:pPr>
      <w:bookmarkStart w:id="343" w:name="_Toc407069678"/>
      <w:bookmarkStart w:id="344" w:name="_Toc407081643"/>
      <w:bookmarkStart w:id="345" w:name="_Toc407081786"/>
      <w:bookmarkStart w:id="346" w:name="_Toc407083442"/>
      <w:bookmarkStart w:id="347" w:name="_Toc407084276"/>
      <w:bookmarkStart w:id="348" w:name="_Toc407085395"/>
      <w:bookmarkStart w:id="349" w:name="_Toc407085538"/>
      <w:bookmarkStart w:id="350" w:name="_Toc407085681"/>
      <w:bookmarkStart w:id="351" w:name="_Toc407086129"/>
      <w:r>
        <w:t>4.2. Transport lepiszczy</w:t>
      </w:r>
      <w:bookmarkEnd w:id="343"/>
      <w:bookmarkEnd w:id="344"/>
      <w:bookmarkEnd w:id="345"/>
      <w:bookmarkEnd w:id="346"/>
      <w:bookmarkEnd w:id="347"/>
      <w:bookmarkEnd w:id="348"/>
      <w:bookmarkEnd w:id="349"/>
      <w:bookmarkEnd w:id="350"/>
      <w:bookmarkEnd w:id="351"/>
    </w:p>
    <w:p w:rsidR="00CD292D" w:rsidRDefault="00CD292D" w:rsidP="00CD292D">
      <w:pPr>
        <w:jc w:val="both"/>
        <w:rPr>
          <w:sz w:val="20"/>
        </w:rPr>
      </w:pPr>
      <w:r>
        <w:rPr>
          <w:sz w:val="20"/>
        </w:rPr>
        <w:tab/>
        <w:t>Asfalty mogą być transportowane w cysternach kolejowych lub samochodowych, posiadających izolację termiczną, zaopatrzonych w urządzenia grzewcze, zawory spustowe i zabezpieczonych przed dostępem wody.</w:t>
      </w:r>
    </w:p>
    <w:p w:rsidR="00CD292D" w:rsidRDefault="00CD292D" w:rsidP="00CD292D">
      <w:pPr>
        <w:spacing w:after="120"/>
        <w:jc w:val="both"/>
        <w:rPr>
          <w:sz w:val="20"/>
        </w:rPr>
      </w:pPr>
      <w:r>
        <w:rPr>
          <w:sz w:val="20"/>
        </w:rP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sz w:val="20"/>
          <w:vertAlign w:val="superscript"/>
        </w:rPr>
        <w:t>3</w:t>
      </w:r>
      <w:r>
        <w:rPr>
          <w:sz w:val="20"/>
        </w:rPr>
        <w:t>, a każda przegroda powinna mieć wykroje w dnie umożliwiające przepływ emulsji. Cysterny, pojemniki i zbiorniki przeznaczone do transportu lub składowania emulsji powinny być czyste i nie powinny zawierać resztek innych lepiszczy.</w:t>
      </w:r>
    </w:p>
    <w:p w:rsidR="00CD292D" w:rsidRDefault="00CD292D" w:rsidP="00CD292D">
      <w:pPr>
        <w:pStyle w:val="Nagwek1"/>
        <w:spacing w:before="120"/>
        <w:rPr>
          <w:color w:val="0000FF"/>
        </w:rPr>
      </w:pPr>
      <w:bookmarkStart w:id="352" w:name="_Toc407069679"/>
      <w:bookmarkStart w:id="353" w:name="_Toc407081644"/>
      <w:bookmarkStart w:id="354" w:name="_Toc407081787"/>
      <w:bookmarkStart w:id="355" w:name="_Toc407083443"/>
      <w:bookmarkStart w:id="356" w:name="_Toc407084277"/>
      <w:bookmarkStart w:id="357" w:name="_Toc407085396"/>
      <w:bookmarkStart w:id="358" w:name="_Toc407085539"/>
      <w:bookmarkStart w:id="359" w:name="_Toc407085682"/>
      <w:bookmarkStart w:id="360" w:name="_Toc407086130"/>
      <w:r>
        <w:rPr>
          <w:color w:val="0000FF"/>
        </w:rPr>
        <w:t>5. wykonanie robót</w:t>
      </w:r>
      <w:bookmarkEnd w:id="352"/>
      <w:bookmarkEnd w:id="353"/>
      <w:bookmarkEnd w:id="354"/>
      <w:bookmarkEnd w:id="355"/>
      <w:bookmarkEnd w:id="356"/>
      <w:bookmarkEnd w:id="357"/>
      <w:bookmarkEnd w:id="358"/>
      <w:bookmarkEnd w:id="359"/>
      <w:bookmarkEnd w:id="360"/>
    </w:p>
    <w:p w:rsidR="00CD292D" w:rsidRDefault="00CD292D" w:rsidP="00CD292D">
      <w:pPr>
        <w:pStyle w:val="Nagwek2"/>
      </w:pPr>
      <w:bookmarkStart w:id="361" w:name="_Toc407069680"/>
      <w:bookmarkStart w:id="362" w:name="_Toc407081645"/>
      <w:bookmarkStart w:id="363" w:name="_Toc407081788"/>
      <w:bookmarkStart w:id="364" w:name="_Toc407083444"/>
      <w:bookmarkStart w:id="365" w:name="_Toc407084278"/>
      <w:bookmarkStart w:id="366" w:name="_Toc407085397"/>
      <w:bookmarkStart w:id="367" w:name="_Toc407085540"/>
      <w:bookmarkStart w:id="368" w:name="_Toc407085683"/>
      <w:bookmarkStart w:id="369" w:name="_Toc407086131"/>
      <w:r>
        <w:t>5.1. Ogólne zasady wykonania robót</w:t>
      </w:r>
      <w:bookmarkEnd w:id="361"/>
      <w:bookmarkEnd w:id="362"/>
      <w:bookmarkEnd w:id="363"/>
      <w:bookmarkEnd w:id="364"/>
      <w:bookmarkEnd w:id="365"/>
      <w:bookmarkEnd w:id="366"/>
      <w:bookmarkEnd w:id="367"/>
      <w:bookmarkEnd w:id="368"/>
      <w:bookmarkEnd w:id="369"/>
    </w:p>
    <w:p w:rsidR="00CD292D" w:rsidRDefault="00CD292D" w:rsidP="00CD292D">
      <w:pPr>
        <w:jc w:val="both"/>
        <w:rPr>
          <w:sz w:val="20"/>
        </w:rPr>
      </w:pPr>
      <w:r>
        <w:rPr>
          <w:sz w:val="20"/>
        </w:rPr>
        <w:tab/>
        <w:t>Ogólne zasady wykonania robót podano w OST D-M-00.00.00 „Wymagania ogólne” pkt 5.</w:t>
      </w:r>
    </w:p>
    <w:p w:rsidR="00CD292D" w:rsidRDefault="00CD292D" w:rsidP="00CD292D">
      <w:pPr>
        <w:pStyle w:val="Nagwek2"/>
      </w:pPr>
      <w:bookmarkStart w:id="370" w:name="_Toc407069681"/>
      <w:bookmarkStart w:id="371" w:name="_Toc407081646"/>
      <w:bookmarkStart w:id="372" w:name="_Toc407081789"/>
      <w:bookmarkStart w:id="373" w:name="_Toc407083445"/>
      <w:bookmarkStart w:id="374" w:name="_Toc407084279"/>
      <w:bookmarkStart w:id="375" w:name="_Toc407085398"/>
      <w:bookmarkStart w:id="376" w:name="_Toc407085541"/>
      <w:bookmarkStart w:id="377" w:name="_Toc407085684"/>
      <w:bookmarkStart w:id="378" w:name="_Toc407086132"/>
      <w:r>
        <w:t>5.2. Oczyszczenie warstw nawierzchni</w:t>
      </w:r>
      <w:bookmarkEnd w:id="370"/>
      <w:bookmarkEnd w:id="371"/>
      <w:bookmarkEnd w:id="372"/>
      <w:bookmarkEnd w:id="373"/>
      <w:bookmarkEnd w:id="374"/>
      <w:bookmarkEnd w:id="375"/>
      <w:bookmarkEnd w:id="376"/>
      <w:bookmarkEnd w:id="377"/>
      <w:bookmarkEnd w:id="378"/>
    </w:p>
    <w:p w:rsidR="00CD292D" w:rsidRDefault="00CD292D" w:rsidP="00CD292D">
      <w:pPr>
        <w:jc w:val="both"/>
        <w:rPr>
          <w:sz w:val="20"/>
        </w:rPr>
      </w:pPr>
      <w:r>
        <w:rPr>
          <w:sz w:val="20"/>
        </w:rP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CD292D" w:rsidRDefault="00CD292D" w:rsidP="00CD292D">
      <w:pPr>
        <w:pStyle w:val="Nagwek2"/>
      </w:pPr>
      <w:bookmarkStart w:id="379" w:name="_Toc407069682"/>
      <w:bookmarkStart w:id="380" w:name="_Toc407081647"/>
      <w:bookmarkStart w:id="381" w:name="_Toc407081790"/>
      <w:bookmarkStart w:id="382" w:name="_Toc407083446"/>
      <w:bookmarkStart w:id="383" w:name="_Toc407084280"/>
      <w:bookmarkStart w:id="384" w:name="_Toc407085399"/>
      <w:bookmarkStart w:id="385" w:name="_Toc407085542"/>
      <w:bookmarkStart w:id="386" w:name="_Toc407085685"/>
      <w:bookmarkStart w:id="387" w:name="_Toc407086133"/>
      <w:r>
        <w:t>5.3. Skropienie warstw nawierzchni</w:t>
      </w:r>
      <w:bookmarkEnd w:id="379"/>
      <w:bookmarkEnd w:id="380"/>
      <w:bookmarkEnd w:id="381"/>
      <w:bookmarkEnd w:id="382"/>
      <w:bookmarkEnd w:id="383"/>
      <w:bookmarkEnd w:id="384"/>
      <w:bookmarkEnd w:id="385"/>
      <w:bookmarkEnd w:id="386"/>
      <w:bookmarkEnd w:id="387"/>
    </w:p>
    <w:p w:rsidR="00CD292D" w:rsidRDefault="00CD292D" w:rsidP="00CD292D">
      <w:pPr>
        <w:jc w:val="both"/>
        <w:rPr>
          <w:sz w:val="20"/>
        </w:rPr>
      </w:pPr>
      <w:r>
        <w:rPr>
          <w:sz w:val="20"/>
        </w:rPr>
        <w:tab/>
        <w:t>Warstwa przed skropieniem powinna być oczyszczona.</w:t>
      </w:r>
    </w:p>
    <w:p w:rsidR="00CD292D" w:rsidRDefault="00CD292D" w:rsidP="00CD292D">
      <w:pPr>
        <w:jc w:val="both"/>
        <w:rPr>
          <w:sz w:val="20"/>
        </w:rPr>
      </w:pPr>
      <w:r>
        <w:rPr>
          <w:sz w:val="20"/>
        </w:rPr>
        <w:tab/>
        <w:t>Jeżeli do czyszczenia warstwy była używana woda, to skropienie lepiszczem może nastąpić dopiero po wyschnięciu warstwy, z wyjątkiem zastosowania emulsji, przy których nawierzchnia może być wilgotna.</w:t>
      </w:r>
    </w:p>
    <w:p w:rsidR="00CD292D" w:rsidRDefault="00CD292D" w:rsidP="00CD292D">
      <w:pPr>
        <w:jc w:val="both"/>
        <w:rPr>
          <w:sz w:val="20"/>
        </w:rPr>
      </w:pPr>
      <w:r>
        <w:rPr>
          <w:sz w:val="20"/>
        </w:rPr>
        <w:tab/>
        <w:t>Skropienie warstwy może rozpocząć się po akceptacji przez Inżyniera jej oczyszczenia.</w:t>
      </w:r>
    </w:p>
    <w:p w:rsidR="00CD292D" w:rsidRDefault="00CD292D" w:rsidP="00CD292D">
      <w:pPr>
        <w:jc w:val="both"/>
        <w:rPr>
          <w:sz w:val="20"/>
        </w:rPr>
      </w:pPr>
      <w:r>
        <w:rPr>
          <w:sz w:val="20"/>
        </w:rPr>
        <w:tab/>
        <w:t>Warstwa nawierzchni powinna być skrapiana lepiszczem przy użyciu skrapiarek, a w miejscach trudno dostępnych ręcznie (za pomocą węża z dyszą rozpryskową).</w:t>
      </w:r>
    </w:p>
    <w:p w:rsidR="00CD292D" w:rsidRDefault="00CD292D" w:rsidP="00CD292D">
      <w:pPr>
        <w:jc w:val="both"/>
        <w:rPr>
          <w:sz w:val="20"/>
        </w:rPr>
      </w:pPr>
      <w:r>
        <w:rPr>
          <w:sz w:val="20"/>
        </w:rPr>
        <w:tab/>
        <w:t>Temperatury lepiszczy powinny mieścić się w przedziałach podanych w tablicy 2.</w:t>
      </w:r>
    </w:p>
    <w:p w:rsidR="00CD292D" w:rsidRDefault="00CD292D" w:rsidP="00CD292D">
      <w:pPr>
        <w:spacing w:before="120" w:after="120"/>
        <w:rPr>
          <w:sz w:val="20"/>
        </w:rPr>
      </w:pPr>
      <w:r>
        <w:rPr>
          <w:sz w:val="20"/>
        </w:rPr>
        <w:lastRenderedPageBreak/>
        <w:t>Tablica 2. Temperatury lepiszczy przy skrapianiu</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507"/>
        <w:gridCol w:w="3507"/>
      </w:tblGrid>
      <w:tr w:rsidR="00CD292D" w:rsidTr="00CD292D">
        <w:tc>
          <w:tcPr>
            <w:tcW w:w="496"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rPr>
                <w:sz w:val="20"/>
              </w:rPr>
            </w:pPr>
            <w:r>
              <w:rPr>
                <w:sz w:val="20"/>
              </w:rPr>
              <w:t>Lp.</w:t>
            </w:r>
          </w:p>
        </w:tc>
        <w:tc>
          <w:tcPr>
            <w:tcW w:w="3507"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rPr>
                <w:sz w:val="20"/>
              </w:rPr>
            </w:pPr>
            <w:r>
              <w:rPr>
                <w:sz w:val="20"/>
              </w:rPr>
              <w:t>Rodzaj lepiszcza</w:t>
            </w:r>
          </w:p>
        </w:tc>
        <w:tc>
          <w:tcPr>
            <w:tcW w:w="3507"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rPr>
                <w:sz w:val="20"/>
              </w:rPr>
            </w:pPr>
            <w:r>
              <w:rPr>
                <w:sz w:val="20"/>
              </w:rPr>
              <w:t>Temperatury (</w:t>
            </w:r>
            <w:r>
              <w:rPr>
                <w:sz w:val="20"/>
                <w:vertAlign w:val="superscript"/>
              </w:rPr>
              <w:t>o</w:t>
            </w:r>
            <w:r>
              <w:rPr>
                <w:sz w:val="20"/>
              </w:rPr>
              <w:t>C)</w:t>
            </w:r>
          </w:p>
        </w:tc>
      </w:tr>
      <w:tr w:rsidR="00CD292D" w:rsidTr="00CD292D">
        <w:tc>
          <w:tcPr>
            <w:tcW w:w="496" w:type="dxa"/>
            <w:tcBorders>
              <w:top w:val="nil"/>
              <w:left w:val="single" w:sz="6" w:space="0" w:color="auto"/>
              <w:bottom w:val="single" w:sz="6" w:space="0" w:color="auto"/>
              <w:right w:val="single" w:sz="6" w:space="0" w:color="auto"/>
            </w:tcBorders>
            <w:noWrap/>
            <w:hideMark/>
          </w:tcPr>
          <w:p w:rsidR="00CD292D" w:rsidRDefault="00CD292D">
            <w:pPr>
              <w:spacing w:before="60"/>
              <w:jc w:val="center"/>
              <w:rPr>
                <w:sz w:val="20"/>
              </w:rPr>
            </w:pPr>
            <w:r>
              <w:rPr>
                <w:sz w:val="20"/>
              </w:rPr>
              <w:t>1</w:t>
            </w:r>
          </w:p>
          <w:p w:rsidR="00CD292D" w:rsidRDefault="00CD292D">
            <w:pPr>
              <w:jc w:val="center"/>
              <w:rPr>
                <w:sz w:val="20"/>
              </w:rPr>
            </w:pPr>
            <w:r>
              <w:rPr>
                <w:sz w:val="20"/>
              </w:rPr>
              <w:t>2</w:t>
            </w:r>
          </w:p>
          <w:p w:rsidR="00CD292D" w:rsidRDefault="00CD292D">
            <w:pPr>
              <w:jc w:val="center"/>
              <w:rPr>
                <w:sz w:val="20"/>
              </w:rPr>
            </w:pPr>
            <w:r>
              <w:rPr>
                <w:sz w:val="20"/>
              </w:rPr>
              <w:t>3</w:t>
            </w:r>
          </w:p>
        </w:tc>
        <w:tc>
          <w:tcPr>
            <w:tcW w:w="3507" w:type="dxa"/>
            <w:tcBorders>
              <w:top w:val="nil"/>
              <w:left w:val="single" w:sz="6" w:space="0" w:color="auto"/>
              <w:bottom w:val="single" w:sz="6" w:space="0" w:color="auto"/>
              <w:right w:val="single" w:sz="6" w:space="0" w:color="auto"/>
            </w:tcBorders>
            <w:noWrap/>
            <w:hideMark/>
          </w:tcPr>
          <w:p w:rsidR="00CD292D" w:rsidRDefault="00CD292D">
            <w:pPr>
              <w:spacing w:before="60"/>
              <w:rPr>
                <w:sz w:val="20"/>
              </w:rPr>
            </w:pPr>
            <w:r>
              <w:rPr>
                <w:sz w:val="20"/>
              </w:rPr>
              <w:t>Emulsja asfaltowa kationowa</w:t>
            </w:r>
          </w:p>
          <w:p w:rsidR="00CD292D" w:rsidRDefault="00CD292D">
            <w:pPr>
              <w:rPr>
                <w:sz w:val="20"/>
                <w:lang w:val="de-DE"/>
              </w:rPr>
            </w:pPr>
            <w:r>
              <w:rPr>
                <w:sz w:val="20"/>
                <w:lang w:val="de-DE"/>
              </w:rPr>
              <w:t>Asfalt drogowy D 200</w:t>
            </w:r>
          </w:p>
          <w:p w:rsidR="00CD292D" w:rsidRDefault="00CD292D">
            <w:pPr>
              <w:spacing w:after="60"/>
              <w:rPr>
                <w:sz w:val="20"/>
                <w:lang w:val="de-DE"/>
              </w:rPr>
            </w:pPr>
            <w:r>
              <w:rPr>
                <w:sz w:val="20"/>
                <w:lang w:val="de-DE"/>
              </w:rPr>
              <w:t>Asfalt drogowy D 300</w:t>
            </w:r>
          </w:p>
        </w:tc>
        <w:tc>
          <w:tcPr>
            <w:tcW w:w="3507" w:type="dxa"/>
            <w:tcBorders>
              <w:top w:val="nil"/>
              <w:left w:val="single" w:sz="6" w:space="0" w:color="auto"/>
              <w:bottom w:val="single" w:sz="6" w:space="0" w:color="auto"/>
              <w:right w:val="single" w:sz="6" w:space="0" w:color="auto"/>
            </w:tcBorders>
            <w:noWrap/>
            <w:hideMark/>
          </w:tcPr>
          <w:p w:rsidR="00CD292D" w:rsidRDefault="00CD292D">
            <w:pPr>
              <w:spacing w:before="60"/>
              <w:jc w:val="center"/>
              <w:rPr>
                <w:sz w:val="20"/>
                <w:u w:val="single"/>
                <w:vertAlign w:val="superscript"/>
              </w:rPr>
            </w:pPr>
            <w:r>
              <w:rPr>
                <w:sz w:val="20"/>
                <w:lang w:val="de-DE"/>
              </w:rPr>
              <w:t xml:space="preserve">   </w:t>
            </w:r>
            <w:r>
              <w:rPr>
                <w:sz w:val="20"/>
              </w:rPr>
              <w:t>od 20</w:t>
            </w:r>
            <w:r>
              <w:rPr>
                <w:b/>
                <w:sz w:val="20"/>
              </w:rPr>
              <w:t xml:space="preserve"> </w:t>
            </w:r>
            <w:r>
              <w:rPr>
                <w:sz w:val="20"/>
              </w:rPr>
              <w:t>do</w:t>
            </w:r>
            <w:r>
              <w:rPr>
                <w:b/>
                <w:sz w:val="20"/>
              </w:rPr>
              <w:t xml:space="preserve"> </w:t>
            </w:r>
            <w:r>
              <w:rPr>
                <w:sz w:val="20"/>
              </w:rPr>
              <w:t xml:space="preserve">40 </w:t>
            </w:r>
            <w:r>
              <w:rPr>
                <w:sz w:val="20"/>
                <w:vertAlign w:val="superscript"/>
              </w:rPr>
              <w:t>*)</w:t>
            </w:r>
          </w:p>
          <w:p w:rsidR="00CD292D" w:rsidRDefault="00CD292D">
            <w:pPr>
              <w:jc w:val="center"/>
              <w:rPr>
                <w:sz w:val="20"/>
              </w:rPr>
            </w:pPr>
            <w:r>
              <w:rPr>
                <w:sz w:val="20"/>
              </w:rPr>
              <w:t>od 140 do 150</w:t>
            </w:r>
          </w:p>
          <w:p w:rsidR="00CD292D" w:rsidRDefault="00CD292D">
            <w:pPr>
              <w:jc w:val="center"/>
              <w:rPr>
                <w:sz w:val="20"/>
              </w:rPr>
            </w:pPr>
            <w:r>
              <w:rPr>
                <w:sz w:val="20"/>
              </w:rPr>
              <w:t>od 130 do 140</w:t>
            </w:r>
          </w:p>
        </w:tc>
      </w:tr>
    </w:tbl>
    <w:p w:rsidR="00CD292D" w:rsidRDefault="00CD292D" w:rsidP="00CD292D">
      <w:pPr>
        <w:spacing w:before="120"/>
        <w:rPr>
          <w:sz w:val="20"/>
        </w:rPr>
      </w:pPr>
      <w:r>
        <w:rPr>
          <w:sz w:val="20"/>
        </w:rPr>
        <w:t>*) W razie potrzeby emulsję należy ogrzać do temperatury zapewniającej wymaganą lepkość.</w:t>
      </w:r>
    </w:p>
    <w:p w:rsidR="00CD292D" w:rsidRDefault="00CD292D" w:rsidP="00CD292D">
      <w:pPr>
        <w:spacing w:before="120"/>
        <w:jc w:val="both"/>
        <w:rPr>
          <w:sz w:val="20"/>
        </w:rPr>
      </w:pPr>
    </w:p>
    <w:p w:rsidR="00CD292D" w:rsidRDefault="00CD292D" w:rsidP="00CD292D">
      <w:pPr>
        <w:jc w:val="both"/>
        <w:rPr>
          <w:sz w:val="20"/>
        </w:rPr>
      </w:pPr>
      <w:r>
        <w:rPr>
          <w:sz w:val="20"/>
        </w:rP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CD292D" w:rsidRDefault="00CD292D" w:rsidP="00CD292D">
      <w:pPr>
        <w:spacing w:after="120"/>
        <w:jc w:val="both"/>
        <w:rPr>
          <w:sz w:val="20"/>
        </w:rPr>
      </w:pPr>
      <w:r>
        <w:rPr>
          <w:sz w:val="20"/>
        </w:rPr>
        <w:tab/>
        <w:t xml:space="preserve">Przed ułożeniem warstwy z mieszanki mineralno-bitumicznej Wykonawca powinien zabezpieczyć skropioną warstwę nawierzchni przed uszkodzeniem dopuszczając tylko niezbędny ruch budowlany. </w:t>
      </w:r>
    </w:p>
    <w:p w:rsidR="00CD292D" w:rsidRDefault="00CD292D" w:rsidP="00CD292D">
      <w:pPr>
        <w:pStyle w:val="Nagwek1"/>
        <w:rPr>
          <w:color w:val="0000FF"/>
        </w:rPr>
      </w:pPr>
      <w:bookmarkStart w:id="388" w:name="_Toc407069683"/>
      <w:bookmarkStart w:id="389" w:name="_Toc407081648"/>
      <w:bookmarkStart w:id="390" w:name="_Toc407081791"/>
      <w:bookmarkStart w:id="391" w:name="_Toc407083447"/>
      <w:bookmarkStart w:id="392" w:name="_Toc407084281"/>
      <w:bookmarkStart w:id="393" w:name="_Toc407085400"/>
      <w:bookmarkStart w:id="394" w:name="_Toc407085543"/>
      <w:bookmarkStart w:id="395" w:name="_Toc407085686"/>
      <w:bookmarkStart w:id="396" w:name="_Toc407086134"/>
      <w:r>
        <w:rPr>
          <w:color w:val="0000FF"/>
        </w:rPr>
        <w:t>6. kontrola jakości robót</w:t>
      </w:r>
      <w:bookmarkEnd w:id="388"/>
      <w:bookmarkEnd w:id="389"/>
      <w:bookmarkEnd w:id="390"/>
      <w:bookmarkEnd w:id="391"/>
      <w:bookmarkEnd w:id="392"/>
      <w:bookmarkEnd w:id="393"/>
      <w:bookmarkEnd w:id="394"/>
      <w:bookmarkEnd w:id="395"/>
      <w:bookmarkEnd w:id="396"/>
    </w:p>
    <w:p w:rsidR="00CD292D" w:rsidRDefault="00CD292D" w:rsidP="00CD292D">
      <w:pPr>
        <w:pStyle w:val="Nagwek2"/>
      </w:pPr>
      <w:bookmarkStart w:id="397" w:name="_Toc407069684"/>
      <w:bookmarkStart w:id="398" w:name="_Toc407081649"/>
      <w:bookmarkStart w:id="399" w:name="_Toc407081792"/>
      <w:bookmarkStart w:id="400" w:name="_Toc407083448"/>
      <w:bookmarkStart w:id="401" w:name="_Toc407084282"/>
      <w:bookmarkStart w:id="402" w:name="_Toc407085401"/>
      <w:bookmarkStart w:id="403" w:name="_Toc407085544"/>
      <w:bookmarkStart w:id="404" w:name="_Toc407085687"/>
      <w:bookmarkStart w:id="405" w:name="_Toc407086135"/>
      <w:r>
        <w:t>6.1. Ogólne zasady kontroli jakości robót</w:t>
      </w:r>
      <w:bookmarkEnd w:id="397"/>
      <w:bookmarkEnd w:id="398"/>
      <w:bookmarkEnd w:id="399"/>
      <w:bookmarkEnd w:id="400"/>
      <w:bookmarkEnd w:id="401"/>
      <w:bookmarkEnd w:id="402"/>
      <w:bookmarkEnd w:id="403"/>
      <w:bookmarkEnd w:id="404"/>
      <w:bookmarkEnd w:id="405"/>
    </w:p>
    <w:p w:rsidR="00CD292D" w:rsidRDefault="00CD292D" w:rsidP="00CD292D">
      <w:pPr>
        <w:jc w:val="both"/>
        <w:rPr>
          <w:sz w:val="20"/>
        </w:rPr>
      </w:pPr>
      <w:r>
        <w:rPr>
          <w:sz w:val="20"/>
        </w:rPr>
        <w:tab/>
        <w:t>Ogólne zasady kontroli jakości robót podano w OST D-M-00.00.00 „Wymagania ogólne” pkt 6.</w:t>
      </w:r>
    </w:p>
    <w:p w:rsidR="00CD292D" w:rsidRDefault="00CD292D" w:rsidP="00CD292D">
      <w:pPr>
        <w:pStyle w:val="Nagwek2"/>
      </w:pPr>
      <w:bookmarkStart w:id="406" w:name="_Toc407069685"/>
      <w:bookmarkStart w:id="407" w:name="_Toc407081650"/>
      <w:bookmarkStart w:id="408" w:name="_Toc407081793"/>
      <w:bookmarkStart w:id="409" w:name="_Toc407083449"/>
      <w:bookmarkStart w:id="410" w:name="_Toc407084283"/>
      <w:bookmarkStart w:id="411" w:name="_Toc407085402"/>
      <w:bookmarkStart w:id="412" w:name="_Toc407085545"/>
      <w:bookmarkStart w:id="413" w:name="_Toc407085688"/>
      <w:bookmarkStart w:id="414" w:name="_Toc407086136"/>
      <w:r>
        <w:t>6.2. Badania przed przystąpieniem do robót</w:t>
      </w:r>
      <w:bookmarkEnd w:id="406"/>
      <w:bookmarkEnd w:id="407"/>
      <w:bookmarkEnd w:id="408"/>
      <w:bookmarkEnd w:id="409"/>
      <w:bookmarkEnd w:id="410"/>
      <w:bookmarkEnd w:id="411"/>
      <w:bookmarkEnd w:id="412"/>
      <w:bookmarkEnd w:id="413"/>
      <w:bookmarkEnd w:id="414"/>
    </w:p>
    <w:p w:rsidR="00CD292D" w:rsidRDefault="00CD292D" w:rsidP="00CD292D">
      <w:pPr>
        <w:jc w:val="both"/>
        <w:rPr>
          <w:sz w:val="20"/>
        </w:rPr>
      </w:pPr>
      <w:r>
        <w:rPr>
          <w:sz w:val="20"/>
        </w:rP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CD292D" w:rsidRDefault="00CD292D" w:rsidP="00CD292D">
      <w:pPr>
        <w:pStyle w:val="Nagwek2"/>
      </w:pPr>
      <w:bookmarkStart w:id="415" w:name="_Toc407069686"/>
      <w:bookmarkStart w:id="416" w:name="_Toc407081651"/>
      <w:bookmarkStart w:id="417" w:name="_Toc407081794"/>
      <w:bookmarkStart w:id="418" w:name="_Toc407083450"/>
      <w:bookmarkStart w:id="419" w:name="_Toc407084284"/>
      <w:bookmarkStart w:id="420" w:name="_Toc407085403"/>
      <w:bookmarkStart w:id="421" w:name="_Toc407085546"/>
      <w:bookmarkStart w:id="422" w:name="_Toc407085689"/>
      <w:bookmarkStart w:id="423" w:name="_Toc407086137"/>
      <w:r>
        <w:t>6.3. Badania w czasie robót</w:t>
      </w:r>
      <w:bookmarkEnd w:id="415"/>
      <w:bookmarkEnd w:id="416"/>
      <w:bookmarkEnd w:id="417"/>
      <w:bookmarkEnd w:id="418"/>
      <w:bookmarkEnd w:id="419"/>
      <w:bookmarkEnd w:id="420"/>
      <w:bookmarkEnd w:id="421"/>
      <w:bookmarkEnd w:id="422"/>
      <w:bookmarkEnd w:id="423"/>
    </w:p>
    <w:p w:rsidR="00CD292D" w:rsidRDefault="00CD292D" w:rsidP="00CD292D">
      <w:pPr>
        <w:spacing w:after="120"/>
        <w:jc w:val="both"/>
        <w:rPr>
          <w:sz w:val="20"/>
        </w:rPr>
      </w:pPr>
      <w:r>
        <w:rPr>
          <w:b/>
          <w:sz w:val="20"/>
        </w:rPr>
        <w:t xml:space="preserve">6.3.1. </w:t>
      </w:r>
      <w:r>
        <w:rPr>
          <w:sz w:val="20"/>
        </w:rPr>
        <w:t>Badania lepiszczy</w:t>
      </w:r>
    </w:p>
    <w:p w:rsidR="00CD292D" w:rsidRDefault="00CD292D" w:rsidP="00CD292D">
      <w:pPr>
        <w:jc w:val="both"/>
        <w:rPr>
          <w:sz w:val="20"/>
        </w:rPr>
      </w:pPr>
      <w:r>
        <w:rPr>
          <w:sz w:val="20"/>
        </w:rPr>
        <w:tab/>
        <w:t>Ocena lepiszczy powinna być oparta na atestach producenta z tym, że Wykonawca powinien kontrolować dla każdej dostawy właściwości lepiszczy podane w tablicy 3.</w:t>
      </w:r>
    </w:p>
    <w:p w:rsidR="00CD292D" w:rsidRDefault="00CD292D" w:rsidP="00CD292D">
      <w:pPr>
        <w:spacing w:before="120" w:after="120"/>
        <w:rPr>
          <w:sz w:val="20"/>
        </w:rPr>
      </w:pPr>
      <w:r>
        <w:rPr>
          <w:sz w:val="20"/>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637"/>
        <w:gridCol w:w="2977"/>
        <w:gridCol w:w="1947"/>
        <w:gridCol w:w="1947"/>
      </w:tblGrid>
      <w:tr w:rsidR="00CD292D" w:rsidTr="00CD292D">
        <w:tc>
          <w:tcPr>
            <w:tcW w:w="637"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120"/>
              <w:jc w:val="center"/>
              <w:rPr>
                <w:sz w:val="20"/>
              </w:rPr>
            </w:pPr>
            <w:r>
              <w:rPr>
                <w:sz w:val="20"/>
              </w:rPr>
              <w:t>Lp.</w:t>
            </w:r>
          </w:p>
        </w:tc>
        <w:tc>
          <w:tcPr>
            <w:tcW w:w="2977"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120"/>
              <w:jc w:val="center"/>
              <w:rPr>
                <w:sz w:val="20"/>
              </w:rPr>
            </w:pPr>
            <w:r>
              <w:rPr>
                <w:sz w:val="20"/>
              </w:rPr>
              <w:t>Rodzaj lepiszcza</w:t>
            </w:r>
          </w:p>
        </w:tc>
        <w:tc>
          <w:tcPr>
            <w:tcW w:w="1947" w:type="dxa"/>
            <w:tcBorders>
              <w:top w:val="single" w:sz="6" w:space="0" w:color="auto"/>
              <w:left w:val="single" w:sz="6" w:space="0" w:color="auto"/>
              <w:bottom w:val="double" w:sz="6" w:space="0" w:color="auto"/>
              <w:right w:val="single" w:sz="6" w:space="0" w:color="auto"/>
            </w:tcBorders>
            <w:noWrap/>
            <w:hideMark/>
          </w:tcPr>
          <w:p w:rsidR="00CD292D" w:rsidRDefault="00CD292D">
            <w:pPr>
              <w:jc w:val="center"/>
              <w:rPr>
                <w:sz w:val="20"/>
              </w:rPr>
            </w:pPr>
            <w:r>
              <w:rPr>
                <w:sz w:val="20"/>
              </w:rPr>
              <w:t>Kontrolowane właściwości</w:t>
            </w:r>
          </w:p>
        </w:tc>
        <w:tc>
          <w:tcPr>
            <w:tcW w:w="1947" w:type="dxa"/>
            <w:tcBorders>
              <w:top w:val="single" w:sz="6" w:space="0" w:color="auto"/>
              <w:left w:val="single" w:sz="6" w:space="0" w:color="auto"/>
              <w:bottom w:val="double" w:sz="6" w:space="0" w:color="auto"/>
              <w:right w:val="single" w:sz="6" w:space="0" w:color="auto"/>
            </w:tcBorders>
            <w:noWrap/>
            <w:hideMark/>
          </w:tcPr>
          <w:p w:rsidR="00CD292D" w:rsidRDefault="00CD292D">
            <w:pPr>
              <w:jc w:val="center"/>
              <w:rPr>
                <w:sz w:val="20"/>
              </w:rPr>
            </w:pPr>
            <w:r>
              <w:rPr>
                <w:sz w:val="20"/>
              </w:rPr>
              <w:t>Badanie</w:t>
            </w:r>
          </w:p>
          <w:p w:rsidR="00CD292D" w:rsidRDefault="00CD292D">
            <w:pPr>
              <w:jc w:val="center"/>
              <w:rPr>
                <w:sz w:val="20"/>
              </w:rPr>
            </w:pPr>
            <w:r>
              <w:rPr>
                <w:sz w:val="20"/>
              </w:rPr>
              <w:t>według normy</w:t>
            </w:r>
          </w:p>
        </w:tc>
      </w:tr>
      <w:tr w:rsidR="00CD292D" w:rsidTr="00CD292D">
        <w:tc>
          <w:tcPr>
            <w:tcW w:w="637" w:type="dxa"/>
            <w:tcBorders>
              <w:top w:val="nil"/>
              <w:left w:val="single" w:sz="6" w:space="0" w:color="auto"/>
              <w:bottom w:val="single" w:sz="6" w:space="0" w:color="auto"/>
              <w:right w:val="single" w:sz="6" w:space="0" w:color="auto"/>
            </w:tcBorders>
            <w:noWrap/>
            <w:hideMark/>
          </w:tcPr>
          <w:p w:rsidR="00CD292D" w:rsidRDefault="00CD292D">
            <w:pPr>
              <w:spacing w:before="60" w:after="60"/>
              <w:jc w:val="center"/>
              <w:rPr>
                <w:sz w:val="20"/>
              </w:rPr>
            </w:pPr>
            <w:r>
              <w:rPr>
                <w:sz w:val="20"/>
              </w:rPr>
              <w:t>1</w:t>
            </w:r>
          </w:p>
          <w:p w:rsidR="00CD292D" w:rsidRDefault="00CD292D">
            <w:pPr>
              <w:spacing w:before="60" w:after="60"/>
              <w:jc w:val="center"/>
              <w:rPr>
                <w:sz w:val="20"/>
              </w:rPr>
            </w:pPr>
            <w:r>
              <w:rPr>
                <w:sz w:val="20"/>
              </w:rPr>
              <w:t>2</w:t>
            </w:r>
          </w:p>
        </w:tc>
        <w:tc>
          <w:tcPr>
            <w:tcW w:w="2977" w:type="dxa"/>
            <w:tcBorders>
              <w:top w:val="nil"/>
              <w:left w:val="single" w:sz="6" w:space="0" w:color="auto"/>
              <w:bottom w:val="single" w:sz="6" w:space="0" w:color="auto"/>
              <w:right w:val="single" w:sz="6" w:space="0" w:color="auto"/>
            </w:tcBorders>
            <w:noWrap/>
            <w:hideMark/>
          </w:tcPr>
          <w:p w:rsidR="00CD292D" w:rsidRDefault="00CD292D">
            <w:pPr>
              <w:spacing w:before="60" w:after="60"/>
              <w:rPr>
                <w:sz w:val="20"/>
              </w:rPr>
            </w:pPr>
            <w:r>
              <w:rPr>
                <w:sz w:val="20"/>
              </w:rPr>
              <w:t>Emulsja asfaltowa kationowa</w:t>
            </w:r>
          </w:p>
          <w:p w:rsidR="00CD292D" w:rsidRDefault="00CD292D">
            <w:pPr>
              <w:spacing w:before="60" w:after="60"/>
              <w:rPr>
                <w:sz w:val="20"/>
              </w:rPr>
            </w:pPr>
            <w:r>
              <w:rPr>
                <w:sz w:val="20"/>
              </w:rPr>
              <w:t>Asfalt drogowy</w:t>
            </w:r>
          </w:p>
        </w:tc>
        <w:tc>
          <w:tcPr>
            <w:tcW w:w="1947" w:type="dxa"/>
            <w:tcBorders>
              <w:top w:val="nil"/>
              <w:left w:val="single" w:sz="6" w:space="0" w:color="auto"/>
              <w:bottom w:val="single" w:sz="6" w:space="0" w:color="auto"/>
              <w:right w:val="single" w:sz="6" w:space="0" w:color="auto"/>
            </w:tcBorders>
            <w:noWrap/>
            <w:hideMark/>
          </w:tcPr>
          <w:p w:rsidR="00CD292D" w:rsidRDefault="00CD292D">
            <w:pPr>
              <w:spacing w:before="60" w:after="60"/>
              <w:jc w:val="center"/>
              <w:rPr>
                <w:sz w:val="20"/>
              </w:rPr>
            </w:pPr>
            <w:r>
              <w:rPr>
                <w:sz w:val="20"/>
              </w:rPr>
              <w:t>lepkość</w:t>
            </w:r>
          </w:p>
          <w:p w:rsidR="00CD292D" w:rsidRDefault="00CD292D">
            <w:pPr>
              <w:spacing w:before="60" w:after="60"/>
              <w:jc w:val="center"/>
              <w:rPr>
                <w:sz w:val="20"/>
              </w:rPr>
            </w:pPr>
            <w:r>
              <w:rPr>
                <w:sz w:val="20"/>
              </w:rPr>
              <w:t>penetracja</w:t>
            </w:r>
          </w:p>
        </w:tc>
        <w:tc>
          <w:tcPr>
            <w:tcW w:w="1947" w:type="dxa"/>
            <w:tcBorders>
              <w:top w:val="nil"/>
              <w:left w:val="single" w:sz="6" w:space="0" w:color="auto"/>
              <w:bottom w:val="single" w:sz="6" w:space="0" w:color="auto"/>
              <w:right w:val="single" w:sz="6" w:space="0" w:color="auto"/>
            </w:tcBorders>
            <w:noWrap/>
            <w:hideMark/>
          </w:tcPr>
          <w:p w:rsidR="00CD292D" w:rsidRDefault="00CD292D">
            <w:pPr>
              <w:spacing w:before="60" w:after="60"/>
              <w:jc w:val="center"/>
              <w:rPr>
                <w:sz w:val="20"/>
              </w:rPr>
            </w:pPr>
            <w:r>
              <w:rPr>
                <w:sz w:val="20"/>
              </w:rPr>
              <w:t>EmA-94 [5]</w:t>
            </w:r>
          </w:p>
          <w:p w:rsidR="00CD292D" w:rsidRDefault="00CD292D">
            <w:pPr>
              <w:spacing w:before="60" w:after="60"/>
              <w:jc w:val="center"/>
              <w:rPr>
                <w:sz w:val="20"/>
              </w:rPr>
            </w:pPr>
            <w:r>
              <w:rPr>
                <w:sz w:val="20"/>
              </w:rPr>
              <w:t>PN-C-04134 [1]</w:t>
            </w:r>
          </w:p>
        </w:tc>
      </w:tr>
    </w:tbl>
    <w:p w:rsidR="00CD292D" w:rsidRDefault="00CD292D" w:rsidP="00CD292D">
      <w:pPr>
        <w:rPr>
          <w:sz w:val="20"/>
        </w:rPr>
      </w:pPr>
    </w:p>
    <w:p w:rsidR="00CD292D" w:rsidRDefault="00CD292D" w:rsidP="00CD292D">
      <w:pPr>
        <w:jc w:val="both"/>
        <w:rPr>
          <w:sz w:val="20"/>
        </w:rPr>
      </w:pPr>
      <w:r>
        <w:rPr>
          <w:b/>
          <w:sz w:val="20"/>
        </w:rPr>
        <w:t xml:space="preserve">6.3.2. </w:t>
      </w:r>
      <w:r>
        <w:rPr>
          <w:sz w:val="20"/>
        </w:rPr>
        <w:t>Sprawdzenie jednorodności skropienia i zużycia lepiszcza</w:t>
      </w:r>
    </w:p>
    <w:p w:rsidR="00CD292D" w:rsidRDefault="00CD292D" w:rsidP="00CD292D">
      <w:pPr>
        <w:spacing w:before="120"/>
        <w:jc w:val="both"/>
        <w:rPr>
          <w:sz w:val="20"/>
        </w:rPr>
      </w:pPr>
      <w:r>
        <w:rPr>
          <w:sz w:val="20"/>
        </w:rPr>
        <w:tab/>
        <w:t>Należy przeprowadzić kontrolę ilości rozkładanego lepiszcza według metody podanej w opracowaniu „Powierzchniowe utrwalenia. Oznaczanie ilości rozkładanego lepiszcza i kruszywa” [4].</w:t>
      </w:r>
    </w:p>
    <w:p w:rsidR="00CD292D" w:rsidRDefault="00CD292D" w:rsidP="00CD292D">
      <w:pPr>
        <w:pStyle w:val="Nagwek1"/>
        <w:rPr>
          <w:color w:val="0000FF"/>
        </w:rPr>
      </w:pPr>
      <w:bookmarkStart w:id="424" w:name="_Toc407069687"/>
      <w:bookmarkStart w:id="425" w:name="_Toc407081652"/>
      <w:bookmarkStart w:id="426" w:name="_Toc407081795"/>
      <w:bookmarkStart w:id="427" w:name="_Toc407083451"/>
      <w:bookmarkStart w:id="428" w:name="_Toc407084285"/>
      <w:bookmarkStart w:id="429" w:name="_Toc407085404"/>
      <w:bookmarkStart w:id="430" w:name="_Toc407085547"/>
      <w:bookmarkStart w:id="431" w:name="_Toc407085690"/>
      <w:bookmarkStart w:id="432" w:name="_Toc407086138"/>
      <w:r>
        <w:rPr>
          <w:color w:val="0000FF"/>
        </w:rPr>
        <w:t>7. obmiar robót</w:t>
      </w:r>
      <w:bookmarkEnd w:id="424"/>
      <w:bookmarkEnd w:id="425"/>
      <w:bookmarkEnd w:id="426"/>
      <w:bookmarkEnd w:id="427"/>
      <w:bookmarkEnd w:id="428"/>
      <w:bookmarkEnd w:id="429"/>
      <w:bookmarkEnd w:id="430"/>
      <w:bookmarkEnd w:id="431"/>
      <w:bookmarkEnd w:id="432"/>
    </w:p>
    <w:p w:rsidR="00CD292D" w:rsidRDefault="00CD292D" w:rsidP="00CD292D">
      <w:pPr>
        <w:pStyle w:val="Nagwek2"/>
      </w:pPr>
      <w:bookmarkStart w:id="433" w:name="_Toc407069688"/>
      <w:bookmarkStart w:id="434" w:name="_Toc407081653"/>
      <w:bookmarkStart w:id="435" w:name="_Toc407081796"/>
      <w:bookmarkStart w:id="436" w:name="_Toc407083452"/>
      <w:bookmarkStart w:id="437" w:name="_Toc407084286"/>
      <w:bookmarkStart w:id="438" w:name="_Toc407085405"/>
      <w:bookmarkStart w:id="439" w:name="_Toc407085548"/>
      <w:bookmarkStart w:id="440" w:name="_Toc407085691"/>
      <w:bookmarkStart w:id="441" w:name="_Toc407086139"/>
      <w:r>
        <w:t>7.1. Ogólne zasady obmiaru robót</w:t>
      </w:r>
      <w:bookmarkEnd w:id="433"/>
      <w:bookmarkEnd w:id="434"/>
      <w:bookmarkEnd w:id="435"/>
      <w:bookmarkEnd w:id="436"/>
      <w:bookmarkEnd w:id="437"/>
      <w:bookmarkEnd w:id="438"/>
      <w:bookmarkEnd w:id="439"/>
      <w:bookmarkEnd w:id="440"/>
      <w:bookmarkEnd w:id="441"/>
    </w:p>
    <w:p w:rsidR="00CD292D" w:rsidRDefault="00CD292D" w:rsidP="00CD292D">
      <w:pPr>
        <w:jc w:val="both"/>
        <w:rPr>
          <w:sz w:val="20"/>
        </w:rPr>
      </w:pPr>
      <w:r>
        <w:rPr>
          <w:sz w:val="20"/>
        </w:rPr>
        <w:tab/>
        <w:t>Ogólne zasady obmiaru robót podano w OST D-M-00.00.00 „Wymagania ogólne” pkt 7.</w:t>
      </w:r>
    </w:p>
    <w:p w:rsidR="00CD292D" w:rsidRDefault="00CD292D" w:rsidP="00CD292D">
      <w:pPr>
        <w:pStyle w:val="Nagwek2"/>
      </w:pPr>
      <w:bookmarkStart w:id="442" w:name="_Toc407069689"/>
      <w:bookmarkStart w:id="443" w:name="_Toc407081654"/>
      <w:bookmarkStart w:id="444" w:name="_Toc407081797"/>
      <w:bookmarkStart w:id="445" w:name="_Toc407083453"/>
      <w:bookmarkStart w:id="446" w:name="_Toc407084287"/>
      <w:bookmarkStart w:id="447" w:name="_Toc407085406"/>
      <w:bookmarkStart w:id="448" w:name="_Toc407085549"/>
      <w:bookmarkStart w:id="449" w:name="_Toc407085692"/>
      <w:bookmarkStart w:id="450" w:name="_Toc407086140"/>
      <w:r>
        <w:lastRenderedPageBreak/>
        <w:t>7.2. Jednostka obmiarowa</w:t>
      </w:r>
      <w:bookmarkEnd w:id="442"/>
      <w:bookmarkEnd w:id="443"/>
      <w:bookmarkEnd w:id="444"/>
      <w:bookmarkEnd w:id="445"/>
      <w:bookmarkEnd w:id="446"/>
      <w:bookmarkEnd w:id="447"/>
      <w:bookmarkEnd w:id="448"/>
      <w:bookmarkEnd w:id="449"/>
      <w:bookmarkEnd w:id="450"/>
    </w:p>
    <w:p w:rsidR="00CD292D" w:rsidRDefault="00CD292D" w:rsidP="00CD292D">
      <w:pPr>
        <w:jc w:val="both"/>
        <w:rPr>
          <w:sz w:val="20"/>
        </w:rPr>
      </w:pPr>
      <w:r>
        <w:rPr>
          <w:sz w:val="20"/>
        </w:rPr>
        <w:tab/>
        <w:t>Jednostką obmiarową jest:</w:t>
      </w:r>
    </w:p>
    <w:p w:rsidR="00CD292D" w:rsidRDefault="00CD292D" w:rsidP="00CD292D">
      <w:pPr>
        <w:jc w:val="both"/>
        <w:rPr>
          <w:sz w:val="20"/>
        </w:rPr>
      </w:pPr>
      <w:r>
        <w:rPr>
          <w:sz w:val="20"/>
        </w:rPr>
        <w:t>- m</w:t>
      </w:r>
      <w:r>
        <w:rPr>
          <w:sz w:val="20"/>
          <w:vertAlign w:val="superscript"/>
        </w:rPr>
        <w:t>2</w:t>
      </w:r>
      <w:r>
        <w:rPr>
          <w:sz w:val="20"/>
        </w:rPr>
        <w:t xml:space="preserve"> (metr kwadratowy) oczyszczonej powierzchni,</w:t>
      </w:r>
    </w:p>
    <w:p w:rsidR="00CD292D" w:rsidRDefault="00CD292D" w:rsidP="00CD292D">
      <w:pPr>
        <w:spacing w:after="120"/>
        <w:jc w:val="both"/>
        <w:rPr>
          <w:sz w:val="20"/>
        </w:rPr>
      </w:pPr>
      <w:r>
        <w:rPr>
          <w:sz w:val="20"/>
        </w:rPr>
        <w:t>- m</w:t>
      </w:r>
      <w:r>
        <w:rPr>
          <w:sz w:val="20"/>
          <w:vertAlign w:val="superscript"/>
        </w:rPr>
        <w:t>2</w:t>
      </w:r>
      <w:r>
        <w:rPr>
          <w:sz w:val="20"/>
        </w:rPr>
        <w:t xml:space="preserve"> (metr kwadratowy) powierzchni skropionej.</w:t>
      </w:r>
    </w:p>
    <w:p w:rsidR="00CD292D" w:rsidRDefault="00CD292D" w:rsidP="00CD292D">
      <w:pPr>
        <w:pStyle w:val="Nagwek1"/>
        <w:rPr>
          <w:color w:val="0000FF"/>
        </w:rPr>
      </w:pPr>
      <w:bookmarkStart w:id="451" w:name="_Toc407069690"/>
      <w:bookmarkStart w:id="452" w:name="_Toc407081655"/>
      <w:bookmarkStart w:id="453" w:name="_Toc407081798"/>
      <w:bookmarkStart w:id="454" w:name="_Toc407083454"/>
      <w:bookmarkStart w:id="455" w:name="_Toc407084288"/>
      <w:bookmarkStart w:id="456" w:name="_Toc407085407"/>
      <w:bookmarkStart w:id="457" w:name="_Toc407085550"/>
      <w:bookmarkStart w:id="458" w:name="_Toc407085693"/>
      <w:bookmarkStart w:id="459" w:name="_Toc407086141"/>
      <w:r>
        <w:rPr>
          <w:color w:val="0000FF"/>
        </w:rPr>
        <w:t>8. odbiór robót</w:t>
      </w:r>
      <w:bookmarkEnd w:id="451"/>
      <w:bookmarkEnd w:id="452"/>
      <w:bookmarkEnd w:id="453"/>
      <w:bookmarkEnd w:id="454"/>
      <w:bookmarkEnd w:id="455"/>
      <w:bookmarkEnd w:id="456"/>
      <w:bookmarkEnd w:id="457"/>
      <w:bookmarkEnd w:id="458"/>
      <w:bookmarkEnd w:id="459"/>
    </w:p>
    <w:p w:rsidR="00CD292D" w:rsidRDefault="00CD292D" w:rsidP="00CD292D">
      <w:pPr>
        <w:jc w:val="both"/>
        <w:rPr>
          <w:sz w:val="20"/>
        </w:rPr>
      </w:pPr>
      <w:r>
        <w:rPr>
          <w:sz w:val="20"/>
        </w:rPr>
        <w:tab/>
        <w:t>Ogólne zasady odbioru robót podano w OST D-M-00.00.00 „Wymagania ogólne” pkt 8.</w:t>
      </w:r>
    </w:p>
    <w:p w:rsidR="00CD292D" w:rsidRDefault="00CD292D" w:rsidP="00CD292D">
      <w:pPr>
        <w:jc w:val="both"/>
        <w:rPr>
          <w:sz w:val="20"/>
        </w:rPr>
      </w:pPr>
      <w:r>
        <w:rPr>
          <w:sz w:val="20"/>
        </w:rPr>
        <w:tab/>
        <w:t>Roboty uznaje się za wykonane zgodnie z dokumentacją projektową, SST i wymaganiami Inżyniera, jeżeli wszystkie pomiary i badania z zachowaniem tolerancji wg pkt 6 dały wyniki pozytywne.</w:t>
      </w:r>
    </w:p>
    <w:p w:rsidR="00CD292D" w:rsidRDefault="00CD292D" w:rsidP="00CD292D">
      <w:pPr>
        <w:pStyle w:val="Nagwek1"/>
        <w:rPr>
          <w:color w:val="0000FF"/>
        </w:rPr>
      </w:pPr>
      <w:bookmarkStart w:id="460" w:name="_Toc407069691"/>
      <w:bookmarkStart w:id="461" w:name="_Toc407081656"/>
      <w:bookmarkStart w:id="462" w:name="_Toc407081799"/>
      <w:bookmarkStart w:id="463" w:name="_Toc407083455"/>
      <w:bookmarkStart w:id="464" w:name="_Toc407084289"/>
      <w:bookmarkStart w:id="465" w:name="_Toc407085408"/>
      <w:bookmarkStart w:id="466" w:name="_Toc407085551"/>
      <w:bookmarkStart w:id="467" w:name="_Toc407085694"/>
      <w:bookmarkStart w:id="468" w:name="_Toc407086142"/>
      <w:r>
        <w:rPr>
          <w:color w:val="0000FF"/>
        </w:rPr>
        <w:t>9. podstawa płatności</w:t>
      </w:r>
      <w:bookmarkEnd w:id="460"/>
      <w:bookmarkEnd w:id="461"/>
      <w:bookmarkEnd w:id="462"/>
      <w:bookmarkEnd w:id="463"/>
      <w:bookmarkEnd w:id="464"/>
      <w:bookmarkEnd w:id="465"/>
      <w:bookmarkEnd w:id="466"/>
      <w:bookmarkEnd w:id="467"/>
      <w:bookmarkEnd w:id="468"/>
    </w:p>
    <w:p w:rsidR="00CD292D" w:rsidRDefault="00CD292D" w:rsidP="00CD292D">
      <w:pPr>
        <w:pStyle w:val="Nagwek2"/>
      </w:pPr>
      <w:bookmarkStart w:id="469" w:name="_Toc407069692"/>
      <w:bookmarkStart w:id="470" w:name="_Toc407081657"/>
      <w:bookmarkStart w:id="471" w:name="_Toc407081800"/>
      <w:bookmarkStart w:id="472" w:name="_Toc407083456"/>
      <w:bookmarkStart w:id="473" w:name="_Toc407084290"/>
      <w:bookmarkStart w:id="474" w:name="_Toc407085409"/>
      <w:bookmarkStart w:id="475" w:name="_Toc407085552"/>
      <w:bookmarkStart w:id="476" w:name="_Toc407085695"/>
      <w:bookmarkStart w:id="477" w:name="_Toc407086143"/>
      <w:r>
        <w:t>9.1. Ogólne ustalenia dotyczące podstawy płatności</w:t>
      </w:r>
      <w:bookmarkEnd w:id="469"/>
      <w:bookmarkEnd w:id="470"/>
      <w:bookmarkEnd w:id="471"/>
      <w:bookmarkEnd w:id="472"/>
      <w:bookmarkEnd w:id="473"/>
      <w:bookmarkEnd w:id="474"/>
      <w:bookmarkEnd w:id="475"/>
      <w:bookmarkEnd w:id="476"/>
      <w:bookmarkEnd w:id="477"/>
    </w:p>
    <w:p w:rsidR="00CD292D" w:rsidRDefault="00CD292D" w:rsidP="00CD292D">
      <w:pPr>
        <w:jc w:val="both"/>
        <w:rPr>
          <w:sz w:val="20"/>
        </w:rPr>
      </w:pPr>
      <w:r>
        <w:rPr>
          <w:sz w:val="20"/>
        </w:rPr>
        <w:tab/>
        <w:t>Ogólne ustalenia dotyczące podstawy płatności podano w OST D-M-00.00.00 „Wymagania ogólne” pkt 9.</w:t>
      </w:r>
    </w:p>
    <w:p w:rsidR="00CD292D" w:rsidRDefault="00CD292D" w:rsidP="00CD292D">
      <w:pPr>
        <w:pStyle w:val="Nagwek2"/>
      </w:pPr>
      <w:bookmarkStart w:id="478" w:name="_Toc407069693"/>
      <w:bookmarkStart w:id="479" w:name="_Toc407081658"/>
      <w:bookmarkStart w:id="480" w:name="_Toc407081801"/>
      <w:bookmarkStart w:id="481" w:name="_Toc407083457"/>
      <w:bookmarkStart w:id="482" w:name="_Toc407084291"/>
      <w:bookmarkStart w:id="483" w:name="_Toc407085410"/>
      <w:bookmarkStart w:id="484" w:name="_Toc407085553"/>
      <w:bookmarkStart w:id="485" w:name="_Toc407085696"/>
      <w:bookmarkStart w:id="486" w:name="_Toc407086144"/>
      <w:r>
        <w:t>9.2. Cena jednostki obmiarowej</w:t>
      </w:r>
      <w:bookmarkEnd w:id="478"/>
      <w:bookmarkEnd w:id="479"/>
      <w:bookmarkEnd w:id="480"/>
      <w:bookmarkEnd w:id="481"/>
      <w:bookmarkEnd w:id="482"/>
      <w:bookmarkEnd w:id="483"/>
      <w:bookmarkEnd w:id="484"/>
      <w:bookmarkEnd w:id="485"/>
      <w:bookmarkEnd w:id="486"/>
    </w:p>
    <w:p w:rsidR="00CD292D" w:rsidRDefault="00CD292D" w:rsidP="00CD292D">
      <w:pPr>
        <w:jc w:val="both"/>
        <w:rPr>
          <w:sz w:val="20"/>
        </w:rPr>
      </w:pPr>
      <w:r>
        <w:rPr>
          <w:sz w:val="20"/>
        </w:rPr>
        <w:tab/>
        <w:t>Cena 1 m</w:t>
      </w:r>
      <w:r>
        <w:rPr>
          <w:sz w:val="20"/>
          <w:vertAlign w:val="superscript"/>
        </w:rPr>
        <w:t>2</w:t>
      </w:r>
      <w:r>
        <w:rPr>
          <w:sz w:val="20"/>
        </w:rPr>
        <w:t xml:space="preserve">  oczyszczenia  warstw konstrukcyjnych obejmuje:</w:t>
      </w:r>
    </w:p>
    <w:p w:rsidR="00CD292D" w:rsidRDefault="00CD292D" w:rsidP="00CD292D">
      <w:pPr>
        <w:numPr>
          <w:ilvl w:val="0"/>
          <w:numId w:val="5"/>
        </w:numPr>
        <w:spacing w:after="0" w:line="240" w:lineRule="auto"/>
        <w:jc w:val="both"/>
        <w:rPr>
          <w:sz w:val="20"/>
        </w:rPr>
      </w:pPr>
      <w:r>
        <w:rPr>
          <w:sz w:val="20"/>
        </w:rPr>
        <w:t xml:space="preserve">mechaniczne oczyszczenie każdej niżej położonej warstwy konstrukcyjnej nawierzchni z ewentualnym polewaniem wodą lub użyciem sprężonego powietrza, </w:t>
      </w:r>
    </w:p>
    <w:p w:rsidR="00CD292D" w:rsidRDefault="00CD292D" w:rsidP="00CD292D">
      <w:pPr>
        <w:numPr>
          <w:ilvl w:val="0"/>
          <w:numId w:val="5"/>
        </w:numPr>
        <w:spacing w:after="0" w:line="240" w:lineRule="auto"/>
        <w:jc w:val="both"/>
        <w:rPr>
          <w:sz w:val="20"/>
        </w:rPr>
      </w:pPr>
      <w:r>
        <w:rPr>
          <w:sz w:val="20"/>
        </w:rPr>
        <w:t>ręczne odspojenie stwardniałych zanieczyszczeń.</w:t>
      </w:r>
    </w:p>
    <w:p w:rsidR="00CD292D" w:rsidRDefault="00CD292D" w:rsidP="00CD292D">
      <w:pPr>
        <w:jc w:val="both"/>
        <w:rPr>
          <w:sz w:val="20"/>
        </w:rPr>
      </w:pPr>
      <w:r>
        <w:rPr>
          <w:sz w:val="20"/>
        </w:rPr>
        <w:tab/>
        <w:t>Cena  1 m</w:t>
      </w:r>
      <w:r>
        <w:rPr>
          <w:sz w:val="20"/>
          <w:vertAlign w:val="superscript"/>
        </w:rPr>
        <w:t>2</w:t>
      </w:r>
      <w:r>
        <w:rPr>
          <w:sz w:val="20"/>
        </w:rPr>
        <w:t xml:space="preserve"> skropienia warstw konstrukcyjnych obejmuje:</w:t>
      </w:r>
    </w:p>
    <w:p w:rsidR="00CD292D" w:rsidRDefault="00CD292D" w:rsidP="00CD292D">
      <w:pPr>
        <w:numPr>
          <w:ilvl w:val="0"/>
          <w:numId w:val="5"/>
        </w:numPr>
        <w:spacing w:after="0" w:line="240" w:lineRule="auto"/>
        <w:jc w:val="both"/>
        <w:rPr>
          <w:sz w:val="20"/>
        </w:rPr>
      </w:pPr>
      <w:r>
        <w:rPr>
          <w:sz w:val="20"/>
        </w:rPr>
        <w:t>dostarczenie lepiszcza i napełnienie nim skrapiarek,</w:t>
      </w:r>
    </w:p>
    <w:p w:rsidR="00CD292D" w:rsidRDefault="00CD292D" w:rsidP="00CD292D">
      <w:pPr>
        <w:numPr>
          <w:ilvl w:val="0"/>
          <w:numId w:val="5"/>
        </w:numPr>
        <w:spacing w:after="0" w:line="240" w:lineRule="auto"/>
        <w:jc w:val="both"/>
        <w:rPr>
          <w:sz w:val="20"/>
        </w:rPr>
      </w:pPr>
      <w:r>
        <w:rPr>
          <w:sz w:val="20"/>
        </w:rPr>
        <w:t>podgrzanie lepiszcza  do wymaganej temperatury,</w:t>
      </w:r>
    </w:p>
    <w:p w:rsidR="00CD292D" w:rsidRDefault="00CD292D" w:rsidP="00CD292D">
      <w:pPr>
        <w:numPr>
          <w:ilvl w:val="0"/>
          <w:numId w:val="5"/>
        </w:numPr>
        <w:spacing w:after="0" w:line="240" w:lineRule="auto"/>
        <w:jc w:val="both"/>
        <w:rPr>
          <w:sz w:val="20"/>
        </w:rPr>
      </w:pPr>
      <w:r>
        <w:rPr>
          <w:sz w:val="20"/>
        </w:rPr>
        <w:t>skropienie powierzchni warstwy lepiszczem,</w:t>
      </w:r>
    </w:p>
    <w:p w:rsidR="00CD292D" w:rsidRDefault="00CD292D" w:rsidP="00CD292D">
      <w:pPr>
        <w:numPr>
          <w:ilvl w:val="0"/>
          <w:numId w:val="5"/>
        </w:numPr>
        <w:spacing w:after="0" w:line="240" w:lineRule="auto"/>
        <w:jc w:val="both"/>
        <w:rPr>
          <w:sz w:val="20"/>
        </w:rPr>
      </w:pPr>
      <w:r>
        <w:rPr>
          <w:sz w:val="20"/>
        </w:rPr>
        <w:t>przeprowadzenie pomiarów i badań laboratoryjnych wymaganych w specyfikacji technicznej.</w:t>
      </w:r>
    </w:p>
    <w:p w:rsidR="00CD292D" w:rsidRDefault="00CD292D" w:rsidP="00CD292D">
      <w:pPr>
        <w:pStyle w:val="Nagwek1"/>
        <w:rPr>
          <w:color w:val="0000FF"/>
        </w:rPr>
      </w:pPr>
      <w:bookmarkStart w:id="487" w:name="_Toc407069694"/>
      <w:bookmarkStart w:id="488" w:name="_Toc407081659"/>
      <w:bookmarkStart w:id="489" w:name="_Toc407081802"/>
      <w:bookmarkStart w:id="490" w:name="_Toc407083458"/>
      <w:bookmarkStart w:id="491" w:name="_Toc407084292"/>
      <w:bookmarkStart w:id="492" w:name="_Toc407085411"/>
      <w:bookmarkStart w:id="493" w:name="_Toc407085554"/>
      <w:bookmarkStart w:id="494" w:name="_Toc407085697"/>
      <w:bookmarkStart w:id="495" w:name="_Toc407086145"/>
      <w:r>
        <w:rPr>
          <w:color w:val="0000FF"/>
        </w:rPr>
        <w:t>10. przepisy związane</w:t>
      </w:r>
      <w:bookmarkEnd w:id="487"/>
      <w:bookmarkEnd w:id="488"/>
      <w:bookmarkEnd w:id="489"/>
      <w:bookmarkEnd w:id="490"/>
      <w:bookmarkEnd w:id="491"/>
      <w:bookmarkEnd w:id="492"/>
      <w:bookmarkEnd w:id="493"/>
      <w:bookmarkEnd w:id="494"/>
      <w:bookmarkEnd w:id="495"/>
    </w:p>
    <w:p w:rsidR="00CD292D" w:rsidRDefault="00CD292D" w:rsidP="00CD292D">
      <w:pPr>
        <w:pStyle w:val="Nagwek2"/>
      </w:pPr>
      <w:bookmarkStart w:id="496" w:name="_Toc407069695"/>
      <w:bookmarkStart w:id="497" w:name="_Toc407081660"/>
      <w:bookmarkStart w:id="498" w:name="_Toc407081803"/>
      <w:bookmarkStart w:id="499" w:name="_Toc407083459"/>
      <w:bookmarkStart w:id="500" w:name="_Toc407084293"/>
      <w:bookmarkStart w:id="501" w:name="_Toc407085412"/>
      <w:bookmarkStart w:id="502" w:name="_Toc407085555"/>
      <w:bookmarkStart w:id="503" w:name="_Toc407085698"/>
      <w:bookmarkStart w:id="504" w:name="_Toc407086146"/>
      <w:r>
        <w:t>10.1. Normy</w:t>
      </w:r>
      <w:bookmarkEnd w:id="496"/>
      <w:bookmarkEnd w:id="497"/>
      <w:bookmarkEnd w:id="498"/>
      <w:bookmarkEnd w:id="499"/>
      <w:bookmarkEnd w:id="500"/>
      <w:bookmarkEnd w:id="501"/>
      <w:bookmarkEnd w:id="502"/>
      <w:bookmarkEnd w:id="503"/>
      <w:bookmarkEnd w:id="504"/>
    </w:p>
    <w:tbl>
      <w:tblPr>
        <w:tblW w:w="0" w:type="auto"/>
        <w:tblCellMar>
          <w:left w:w="70" w:type="dxa"/>
          <w:right w:w="70" w:type="dxa"/>
        </w:tblCellMar>
        <w:tblLook w:val="04A0" w:firstRow="1" w:lastRow="0" w:firstColumn="1" w:lastColumn="0" w:noHBand="0" w:noVBand="1"/>
      </w:tblPr>
      <w:tblGrid>
        <w:gridCol w:w="496"/>
        <w:gridCol w:w="1984"/>
        <w:gridCol w:w="6152"/>
      </w:tblGrid>
      <w:tr w:rsidR="00CD292D" w:rsidTr="00CD292D">
        <w:tc>
          <w:tcPr>
            <w:tcW w:w="496" w:type="dxa"/>
            <w:hideMark/>
          </w:tcPr>
          <w:p w:rsidR="00CD292D" w:rsidRDefault="00CD292D">
            <w:pPr>
              <w:jc w:val="center"/>
              <w:rPr>
                <w:sz w:val="20"/>
              </w:rPr>
            </w:pPr>
            <w:r>
              <w:rPr>
                <w:sz w:val="20"/>
              </w:rPr>
              <w:t>1.</w:t>
            </w:r>
          </w:p>
        </w:tc>
        <w:tc>
          <w:tcPr>
            <w:tcW w:w="1984" w:type="dxa"/>
            <w:hideMark/>
          </w:tcPr>
          <w:p w:rsidR="00CD292D" w:rsidRDefault="00CD292D">
            <w:pPr>
              <w:rPr>
                <w:sz w:val="20"/>
              </w:rPr>
            </w:pPr>
            <w:r>
              <w:rPr>
                <w:sz w:val="20"/>
              </w:rPr>
              <w:t>PN-C-04134</w:t>
            </w:r>
          </w:p>
        </w:tc>
        <w:tc>
          <w:tcPr>
            <w:tcW w:w="6152" w:type="dxa"/>
            <w:hideMark/>
          </w:tcPr>
          <w:p w:rsidR="00CD292D" w:rsidRDefault="00CD292D">
            <w:pPr>
              <w:rPr>
                <w:sz w:val="20"/>
              </w:rPr>
            </w:pPr>
            <w:r>
              <w:rPr>
                <w:sz w:val="20"/>
              </w:rPr>
              <w:t>Przetwory naftowe. Pomiar penetracji asfaltów</w:t>
            </w:r>
          </w:p>
        </w:tc>
      </w:tr>
      <w:tr w:rsidR="00CD292D" w:rsidTr="00CD292D">
        <w:tc>
          <w:tcPr>
            <w:tcW w:w="496" w:type="dxa"/>
            <w:hideMark/>
          </w:tcPr>
          <w:p w:rsidR="00CD292D" w:rsidRDefault="00CD292D">
            <w:pPr>
              <w:jc w:val="center"/>
              <w:rPr>
                <w:sz w:val="20"/>
              </w:rPr>
            </w:pPr>
            <w:r>
              <w:rPr>
                <w:sz w:val="20"/>
              </w:rPr>
              <w:t>2.</w:t>
            </w:r>
          </w:p>
        </w:tc>
        <w:tc>
          <w:tcPr>
            <w:tcW w:w="1984" w:type="dxa"/>
            <w:hideMark/>
          </w:tcPr>
          <w:p w:rsidR="00CD292D" w:rsidRDefault="00CD292D">
            <w:pPr>
              <w:rPr>
                <w:sz w:val="20"/>
              </w:rPr>
            </w:pPr>
            <w:r>
              <w:rPr>
                <w:sz w:val="20"/>
              </w:rPr>
              <w:t>PN-C-96170</w:t>
            </w:r>
          </w:p>
        </w:tc>
        <w:tc>
          <w:tcPr>
            <w:tcW w:w="6152" w:type="dxa"/>
            <w:hideMark/>
          </w:tcPr>
          <w:p w:rsidR="00CD292D" w:rsidRDefault="00CD292D">
            <w:pPr>
              <w:rPr>
                <w:sz w:val="20"/>
              </w:rPr>
            </w:pPr>
            <w:r>
              <w:rPr>
                <w:sz w:val="20"/>
              </w:rPr>
              <w:t>Przetwory naftowe. Asfalty drogowe</w:t>
            </w:r>
          </w:p>
        </w:tc>
      </w:tr>
      <w:tr w:rsidR="00CD292D" w:rsidTr="00CD292D">
        <w:tc>
          <w:tcPr>
            <w:tcW w:w="496" w:type="dxa"/>
            <w:hideMark/>
          </w:tcPr>
          <w:p w:rsidR="00CD292D" w:rsidRDefault="00CD292D">
            <w:pPr>
              <w:jc w:val="center"/>
              <w:rPr>
                <w:sz w:val="20"/>
              </w:rPr>
            </w:pPr>
            <w:r>
              <w:rPr>
                <w:sz w:val="20"/>
              </w:rPr>
              <w:t>3.</w:t>
            </w:r>
          </w:p>
        </w:tc>
        <w:tc>
          <w:tcPr>
            <w:tcW w:w="1984" w:type="dxa"/>
            <w:hideMark/>
          </w:tcPr>
          <w:p w:rsidR="00CD292D" w:rsidRDefault="00CD292D">
            <w:pPr>
              <w:rPr>
                <w:sz w:val="20"/>
              </w:rPr>
            </w:pPr>
            <w:r>
              <w:rPr>
                <w:sz w:val="20"/>
              </w:rPr>
              <w:t>PN-C-96173</w:t>
            </w:r>
          </w:p>
        </w:tc>
        <w:tc>
          <w:tcPr>
            <w:tcW w:w="6152" w:type="dxa"/>
            <w:hideMark/>
          </w:tcPr>
          <w:p w:rsidR="00CD292D" w:rsidRDefault="00CD292D">
            <w:pPr>
              <w:rPr>
                <w:sz w:val="20"/>
              </w:rPr>
            </w:pPr>
            <w:r>
              <w:rPr>
                <w:sz w:val="20"/>
              </w:rPr>
              <w:t>Przetwory naftowe. Asfalty upłynnione AUN do nawierzchni drogowych</w:t>
            </w:r>
          </w:p>
        </w:tc>
      </w:tr>
    </w:tbl>
    <w:p w:rsidR="00CD292D" w:rsidRDefault="00CD292D" w:rsidP="00CD292D">
      <w:pPr>
        <w:pStyle w:val="Nagwek2"/>
      </w:pPr>
      <w:bookmarkStart w:id="505" w:name="_Toc407069696"/>
      <w:bookmarkStart w:id="506" w:name="_Toc407081661"/>
      <w:bookmarkStart w:id="507" w:name="_Toc407081804"/>
      <w:bookmarkStart w:id="508" w:name="_Toc407083460"/>
      <w:bookmarkStart w:id="509" w:name="_Toc407084294"/>
      <w:bookmarkStart w:id="510" w:name="_Toc407085413"/>
      <w:bookmarkStart w:id="511" w:name="_Toc407085556"/>
      <w:bookmarkStart w:id="512" w:name="_Toc407085699"/>
      <w:bookmarkStart w:id="513" w:name="_Toc407086147"/>
      <w:r>
        <w:t>10.2. Inne dokumenty</w:t>
      </w:r>
      <w:bookmarkEnd w:id="505"/>
      <w:bookmarkEnd w:id="506"/>
      <w:bookmarkEnd w:id="507"/>
      <w:bookmarkEnd w:id="508"/>
      <w:bookmarkEnd w:id="509"/>
      <w:bookmarkEnd w:id="510"/>
      <w:bookmarkEnd w:id="511"/>
      <w:bookmarkEnd w:id="512"/>
      <w:bookmarkEnd w:id="513"/>
    </w:p>
    <w:p w:rsidR="00CD292D" w:rsidRDefault="00CD292D" w:rsidP="00B4292E">
      <w:pPr>
        <w:numPr>
          <w:ilvl w:val="0"/>
          <w:numId w:val="17"/>
        </w:numPr>
        <w:spacing w:after="0" w:line="240" w:lineRule="auto"/>
        <w:jc w:val="both"/>
        <w:rPr>
          <w:sz w:val="20"/>
        </w:rPr>
      </w:pPr>
      <w:r>
        <w:rPr>
          <w:sz w:val="20"/>
        </w:rPr>
        <w:t>„Powierzchniowe utrwalenia. Oznaczanie ilości rozkładanego lepiszcza i kruszywa”. Zalecone przez GDDP do stosowania pismem GDDP-5.3a-551/5/92 z dnia 1992-02-03.</w:t>
      </w:r>
    </w:p>
    <w:p w:rsidR="00CD292D" w:rsidRDefault="00CD292D" w:rsidP="00B4292E">
      <w:pPr>
        <w:numPr>
          <w:ilvl w:val="0"/>
          <w:numId w:val="17"/>
        </w:numPr>
        <w:spacing w:after="0" w:line="240" w:lineRule="auto"/>
        <w:jc w:val="both"/>
        <w:rPr>
          <w:sz w:val="20"/>
        </w:rPr>
      </w:pPr>
      <w:r>
        <w:rPr>
          <w:sz w:val="20"/>
        </w:rPr>
        <w:t>Warunki Techniczne. Drogowe kationowe emulsje asfaltowe EmA-94. IBDiM - 1994 r.</w:t>
      </w:r>
    </w:p>
    <w:p w:rsidR="00CD292D" w:rsidRDefault="00CD292D" w:rsidP="00CD292D">
      <w:pPr>
        <w:jc w:val="both"/>
        <w:rPr>
          <w:sz w:val="20"/>
        </w:rPr>
      </w:pPr>
    </w:p>
    <w:p w:rsidR="00CD292D" w:rsidRDefault="00E558D1" w:rsidP="001B2C9F">
      <w:r>
        <w:rPr>
          <w:rFonts w:ascii="Arial" w:hAnsi="Arial" w:cs="Arial"/>
          <w:b/>
          <w:sz w:val="24"/>
          <w:szCs w:val="24"/>
        </w:rPr>
        <w:t>V</w:t>
      </w:r>
      <w:r w:rsidR="001B2C9F" w:rsidRPr="001B2C9F">
        <w:rPr>
          <w:rFonts w:ascii="Arial" w:hAnsi="Arial" w:cs="Arial"/>
          <w:b/>
          <w:sz w:val="24"/>
          <w:szCs w:val="24"/>
        </w:rPr>
        <w:t xml:space="preserve">. </w:t>
      </w:r>
      <w:r w:rsidR="00CD292D">
        <w:rPr>
          <w:b/>
          <w:bCs/>
          <w:sz w:val="28"/>
          <w:szCs w:val="28"/>
        </w:rPr>
        <w:t>D – 05.03.05a</w:t>
      </w:r>
      <w:r w:rsidR="001B2C9F">
        <w:t xml:space="preserve">  </w:t>
      </w:r>
      <w:r w:rsidR="00CD292D">
        <w:rPr>
          <w:b/>
          <w:bCs/>
          <w:sz w:val="28"/>
          <w:szCs w:val="28"/>
        </w:rPr>
        <w:t>NAWIERZCHNIA  Z  BETONU ASFALTOWEGO.</w:t>
      </w:r>
    </w:p>
    <w:p w:rsidR="00CD292D" w:rsidRDefault="00CD292D" w:rsidP="00CD292D">
      <w:pPr>
        <w:jc w:val="center"/>
      </w:pPr>
      <w:r>
        <w:rPr>
          <w:b/>
          <w:bCs/>
          <w:sz w:val="28"/>
          <w:szCs w:val="28"/>
        </w:rPr>
        <w:t>WARSTWA ŚCIERALNA wg WT-1 i WT-2</w:t>
      </w:r>
    </w:p>
    <w:p w:rsidR="00CD292D" w:rsidRDefault="00CD292D" w:rsidP="00CD292D">
      <w:pPr>
        <w:pStyle w:val="Nagwek1"/>
        <w:rPr>
          <w:rFonts w:eastAsia="Times New Roman"/>
        </w:rPr>
      </w:pPr>
      <w:bookmarkStart w:id="514" w:name="_Toc412637944"/>
      <w:bookmarkStart w:id="515" w:name="_Toc236626155"/>
      <w:bookmarkEnd w:id="514"/>
      <w:bookmarkEnd w:id="515"/>
      <w:r>
        <w:rPr>
          <w:rFonts w:eastAsia="Times New Roman"/>
        </w:rPr>
        <w:lastRenderedPageBreak/>
        <w:t>1. Wstęp</w:t>
      </w:r>
    </w:p>
    <w:p w:rsidR="00CD292D" w:rsidRDefault="00CD292D" w:rsidP="00CD292D">
      <w:pPr>
        <w:pStyle w:val="Nagwek2"/>
        <w:rPr>
          <w:rFonts w:eastAsia="Times New Roman"/>
        </w:rPr>
      </w:pPr>
      <w:r>
        <w:rPr>
          <w:rFonts w:eastAsia="Times New Roman"/>
        </w:rPr>
        <w:t>1.1. Przedmiot OST</w:t>
      </w:r>
    </w:p>
    <w:p w:rsidR="00CD292D" w:rsidRDefault="00CD292D" w:rsidP="00CD292D">
      <w:pPr>
        <w:pStyle w:val="Standardowytekst"/>
        <w:rPr>
          <w:rFonts w:eastAsiaTheme="minorEastAsia"/>
        </w:rPr>
      </w:pPr>
      <w:r>
        <w:rPr>
          <w:sz w:val="24"/>
          <w:szCs w:val="24"/>
        </w:rPr>
        <w:t>            Przedmiotem niniejszej ogólnej specyfikacji technicznej (OST) są wymagania dotyczące wykonania i odbioru robót związanych z wykonaniem warstwy ścieralnej z betonu asfaltowego.</w:t>
      </w:r>
    </w:p>
    <w:p w:rsidR="00CD292D" w:rsidRDefault="00CD292D" w:rsidP="00CD292D">
      <w:pPr>
        <w:pStyle w:val="Nagwek2"/>
        <w:rPr>
          <w:rFonts w:eastAsia="Times New Roman"/>
        </w:rPr>
      </w:pPr>
      <w:r>
        <w:rPr>
          <w:rFonts w:eastAsia="Times New Roman"/>
        </w:rPr>
        <w:t>1.2. Zakres stosowania OST</w:t>
      </w:r>
    </w:p>
    <w:p w:rsidR="00CD292D" w:rsidRDefault="00CD292D" w:rsidP="00CD292D">
      <w:pPr>
        <w:rPr>
          <w:rFonts w:eastAsiaTheme="minorEastAsia"/>
        </w:rPr>
      </w:pPr>
      <w:r>
        <w:t>            Ogólna specyfikacja techniczna (OST) jest materiałem pomocniczym do  opracowania specyfikacji technicznej wykonania i odbioru robót budowlanych (ST) stosowanej jako dokument przetargowy i kontraktowy przy zlecaniu i realizacji robót na drogach i ulicach.</w:t>
      </w:r>
    </w:p>
    <w:p w:rsidR="00CD292D" w:rsidRDefault="00CD292D" w:rsidP="00CD292D">
      <w:pPr>
        <w:pStyle w:val="Nagwek2"/>
        <w:rPr>
          <w:rFonts w:eastAsia="Times New Roman"/>
        </w:rPr>
      </w:pPr>
      <w:r>
        <w:rPr>
          <w:rFonts w:eastAsia="Times New Roman"/>
        </w:rPr>
        <w:t>1.3. Zakres robót objętych OST</w:t>
      </w:r>
    </w:p>
    <w:p w:rsidR="00CD292D" w:rsidRDefault="00CD292D" w:rsidP="00CD292D">
      <w:pPr>
        <w:rPr>
          <w:rFonts w:eastAsiaTheme="minorEastAsia"/>
        </w:rPr>
      </w:pPr>
      <w: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rsidR="00CD292D" w:rsidRDefault="00CD292D" w:rsidP="00CD292D">
      <w: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CD292D" w:rsidRDefault="00CD292D" w:rsidP="00CD292D">
      <w:pPr>
        <w:ind w:firstLine="709"/>
      </w:pPr>
      <w:r>
        <w:t>Stosowane mieszanki  betonu asfaltowego o wymiarze D podano w tablicy 1.</w:t>
      </w:r>
    </w:p>
    <w:p w:rsidR="00CD292D" w:rsidRDefault="00CD292D" w:rsidP="00CD292D">
      <w:pPr>
        <w:spacing w:before="60" w:after="60"/>
      </w:pPr>
      <w: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D292D" w:rsidTr="00CD292D">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Kategoria</w:t>
            </w:r>
          </w:p>
          <w:p w:rsidR="00CD292D" w:rsidRDefault="00CD292D">
            <w:pPr>
              <w:jc w:val="center"/>
            </w:pPr>
            <w: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Mieszanki  o wymiarze D</w:t>
            </w:r>
            <w:r>
              <w:rPr>
                <w:vertAlign w:val="superscript"/>
              </w:rPr>
              <w:t>1)</w:t>
            </w:r>
            <w:r>
              <w:t>,  mm</w:t>
            </w:r>
          </w:p>
        </w:tc>
      </w:tr>
      <w:tr w:rsidR="00CD292D" w:rsidTr="00CD292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KR 1-2</w:t>
            </w:r>
          </w:p>
          <w:p w:rsidR="00CD292D" w:rsidRDefault="00CD292D">
            <w:pPr>
              <w:spacing w:before="60" w:after="60"/>
              <w:jc w:val="center"/>
            </w:pPr>
            <w:r>
              <w:t>KR 3-4</w:t>
            </w:r>
          </w:p>
          <w:p w:rsidR="00CD292D" w:rsidRDefault="00CD292D">
            <w:pPr>
              <w:spacing w:before="60" w:after="60"/>
              <w:jc w:val="center"/>
            </w:pPr>
            <w: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rPr>
                <w:lang w:val="en-US"/>
              </w:rPr>
            </w:pPr>
            <w:r>
              <w:rPr>
                <w:lang w:val="en-US"/>
              </w:rPr>
              <w:t>AC5S, AC8S, AC11S</w:t>
            </w:r>
          </w:p>
          <w:p w:rsidR="00CD292D" w:rsidRDefault="00CD292D">
            <w:pPr>
              <w:spacing w:before="60" w:after="60"/>
              <w:jc w:val="center"/>
              <w:rPr>
                <w:lang w:val="en-US"/>
              </w:rPr>
            </w:pPr>
            <w:r>
              <w:rPr>
                <w:lang w:val="en-US"/>
              </w:rPr>
              <w:t>AC8S, AC11S</w:t>
            </w:r>
          </w:p>
          <w:p w:rsidR="00CD292D" w:rsidRDefault="00CD292D">
            <w:pPr>
              <w:spacing w:before="60" w:after="60"/>
              <w:jc w:val="center"/>
              <w:rPr>
                <w:lang w:val="en-US"/>
              </w:rPr>
            </w:pPr>
            <w:r>
              <w:rPr>
                <w:lang w:val="en-US"/>
              </w:rPr>
              <w:t xml:space="preserve">AC8S </w:t>
            </w:r>
            <w:r>
              <w:rPr>
                <w:vertAlign w:val="superscript"/>
                <w:lang w:val="en-US"/>
              </w:rPr>
              <w:t>2)</w:t>
            </w:r>
            <w:r>
              <w:rPr>
                <w:lang w:val="en-US"/>
              </w:rPr>
              <w:t xml:space="preserve">, AC11S </w:t>
            </w:r>
            <w:r>
              <w:rPr>
                <w:vertAlign w:val="superscript"/>
                <w:lang w:val="en-US"/>
              </w:rPr>
              <w:t>2)</w:t>
            </w:r>
          </w:p>
        </w:tc>
      </w:tr>
    </w:tbl>
    <w:p w:rsidR="00CD292D" w:rsidRDefault="00CD292D" w:rsidP="00CD292D">
      <w:pPr>
        <w:rPr>
          <w:rFonts w:eastAsiaTheme="minorEastAsia"/>
        </w:rPr>
      </w:pPr>
      <w:r>
        <w:rPr>
          <w:vertAlign w:val="superscript"/>
        </w:rPr>
        <w:t xml:space="preserve">1) </w:t>
      </w:r>
      <w:r>
        <w:rPr>
          <w:sz w:val="18"/>
          <w:szCs w:val="18"/>
        </w:rPr>
        <w:t>Podział ze względu na wymiar największego kruszywa w mieszance – patrz punkt 1.4.4.</w:t>
      </w:r>
    </w:p>
    <w:p w:rsidR="00CD292D" w:rsidRDefault="00CD292D" w:rsidP="00CD292D">
      <w:r>
        <w:rPr>
          <w:vertAlign w:val="superscript"/>
        </w:rPr>
        <w:t xml:space="preserve">2) </w:t>
      </w:r>
      <w:r>
        <w:rPr>
          <w:sz w:val="18"/>
          <w:szCs w:val="18"/>
        </w:rPr>
        <w:t>Dopuszczony do stosowania w terenach górskich.</w:t>
      </w:r>
    </w:p>
    <w:p w:rsidR="00CD292D" w:rsidRDefault="00CD292D" w:rsidP="00CD292D">
      <w:pPr>
        <w:pStyle w:val="Nagwek2"/>
        <w:rPr>
          <w:rFonts w:eastAsia="Times New Roman"/>
        </w:rPr>
      </w:pPr>
      <w:r>
        <w:rPr>
          <w:rFonts w:eastAsia="Times New Roman"/>
        </w:rPr>
        <w:t>1.4. Określenia podstawowe</w:t>
      </w:r>
    </w:p>
    <w:p w:rsidR="00CD292D" w:rsidRDefault="00CD292D" w:rsidP="00CD292D">
      <w:pPr>
        <w:pStyle w:val="StylIwony"/>
        <w:spacing w:before="0" w:after="0"/>
        <w:rPr>
          <w:rFonts w:eastAsiaTheme="minorEastAsia"/>
        </w:rPr>
      </w:pPr>
      <w:r>
        <w:rPr>
          <w:rFonts w:ascii="Times New Roman" w:hAnsi="Times New Roman"/>
          <w:b/>
          <w:bCs/>
        </w:rPr>
        <w:t xml:space="preserve">1.4.1. </w:t>
      </w:r>
      <w:r>
        <w:rPr>
          <w:rFonts w:ascii="Times New Roman" w:hAnsi="Times New Roman"/>
        </w:rPr>
        <w:t>Nawierzchnia – konstrukcja składająca się z jednej lub kilku warstw służących do przejmowania i rozkładania obciążeń od ruchu pojazdów na podłoże.</w:t>
      </w:r>
    </w:p>
    <w:p w:rsidR="00CD292D" w:rsidRDefault="00CD292D" w:rsidP="00CD292D">
      <w:pPr>
        <w:pStyle w:val="StylIwony"/>
        <w:spacing w:after="0"/>
      </w:pPr>
      <w:r>
        <w:rPr>
          <w:rFonts w:ascii="Times New Roman" w:hAnsi="Times New Roman"/>
          <w:b/>
          <w:bCs/>
        </w:rPr>
        <w:t xml:space="preserve">1.4.2. </w:t>
      </w:r>
      <w:r>
        <w:rPr>
          <w:rFonts w:ascii="Times New Roman" w:hAnsi="Times New Roman"/>
        </w:rPr>
        <w:t>Warstwa ścieralna – górna warstwa nawierzchni będąca w bezpośrednim kontakcie z kołami pojazdów.</w:t>
      </w:r>
    </w:p>
    <w:p w:rsidR="00CD292D" w:rsidRDefault="00CD292D" w:rsidP="00CD292D">
      <w:pPr>
        <w:pStyle w:val="StylIwony"/>
        <w:spacing w:after="0"/>
      </w:pPr>
      <w:r>
        <w:rPr>
          <w:rFonts w:ascii="Times New Roman" w:hAnsi="Times New Roman"/>
          <w:b/>
          <w:bCs/>
        </w:rPr>
        <w:t xml:space="preserve">1.4.3. </w:t>
      </w:r>
      <w:r>
        <w:rPr>
          <w:rFonts w:ascii="Times New Roman" w:hAnsi="Times New Roman"/>
        </w:rPr>
        <w:t>Mieszanka mineralno-asfaltowa (MMA) – mieszanka kruszyw i lepiszcza asfaltowego.</w:t>
      </w:r>
    </w:p>
    <w:p w:rsidR="00CD292D" w:rsidRDefault="00CD292D" w:rsidP="00CD292D">
      <w:pPr>
        <w:pStyle w:val="StylIwony"/>
        <w:spacing w:after="0"/>
      </w:pPr>
      <w:r>
        <w:rPr>
          <w:rFonts w:ascii="Times New Roman" w:hAnsi="Times New Roman"/>
          <w:b/>
          <w:bCs/>
        </w:rPr>
        <w:t xml:space="preserve">1.4.4. </w:t>
      </w:r>
      <w:r>
        <w:rPr>
          <w:rFonts w:ascii="Times New Roman" w:hAnsi="Times New Roman"/>
        </w:rPr>
        <w:t>Wymiar mieszanki mineralno-asfaltowej – określenie mieszanki mineralno-asfaltowej, ze względu na największy wymiar kruszywa D, np. wymiar 5, 8, 11.</w:t>
      </w:r>
    </w:p>
    <w:p w:rsidR="00CD292D" w:rsidRDefault="00CD292D" w:rsidP="00CD292D">
      <w:pPr>
        <w:pStyle w:val="StylIwony"/>
        <w:spacing w:after="0"/>
      </w:pPr>
      <w:r>
        <w:rPr>
          <w:rFonts w:ascii="Times New Roman" w:hAnsi="Times New Roman"/>
          <w:b/>
          <w:bCs/>
        </w:rPr>
        <w:t xml:space="preserve">1.4.5. </w:t>
      </w:r>
      <w:r>
        <w:rPr>
          <w:rFonts w:ascii="Times New Roman" w:hAnsi="Times New Roman"/>
        </w:rPr>
        <w:t>Beton asfaltowy – mieszanka mineralno-asfaltowa, w której kruszywo o uziarnieniu ciągłym lub nieciągłym tworzy strukturę wzajemnie klinującą się.</w:t>
      </w:r>
    </w:p>
    <w:p w:rsidR="00CD292D" w:rsidRDefault="00CD292D" w:rsidP="00CD292D">
      <w:pPr>
        <w:pStyle w:val="StylIwony"/>
        <w:spacing w:after="0"/>
      </w:pPr>
      <w:r>
        <w:rPr>
          <w:rFonts w:ascii="Times New Roman" w:hAnsi="Times New Roman"/>
          <w:b/>
          <w:bCs/>
        </w:rPr>
        <w:lastRenderedPageBreak/>
        <w:t xml:space="preserve">1.4.6. </w:t>
      </w:r>
      <w:r>
        <w:rPr>
          <w:rFonts w:ascii="Times New Roman" w:hAnsi="Times New Roman"/>
        </w:rPr>
        <w:t>Uziarnienie – skład ziarnowy kruszywa, wyrażony w procentach masy ziaren przechodzących przez określony zestaw sit.</w:t>
      </w:r>
    </w:p>
    <w:p w:rsidR="00CD292D" w:rsidRDefault="00CD292D" w:rsidP="00CD292D">
      <w:pPr>
        <w:pStyle w:val="StylIwony"/>
        <w:spacing w:after="0"/>
      </w:pPr>
      <w:r>
        <w:rPr>
          <w:rFonts w:ascii="Times New Roman" w:hAnsi="Times New Roman"/>
          <w:b/>
          <w:bCs/>
        </w:rPr>
        <w:t xml:space="preserve">1.4.7. </w:t>
      </w:r>
      <w:r>
        <w:rPr>
          <w:rFonts w:ascii="Times New Roman" w:hAnsi="Times New Roman"/>
        </w:rPr>
        <w:t>Kategoria ruchu – obciążenie drogi ruchem samochodowym, wyrażone w osiach obliczeniowych (100 kN) wg „Katalogu typowych konstrukcji nawierzchni podatnych i półsztywnych” GDDKiA [82].</w:t>
      </w:r>
    </w:p>
    <w:p w:rsidR="00CD292D" w:rsidRDefault="00CD292D" w:rsidP="00CD292D">
      <w:pPr>
        <w:pStyle w:val="StylIwony"/>
        <w:spacing w:after="0"/>
      </w:pPr>
      <w:r>
        <w:rPr>
          <w:rFonts w:ascii="Times New Roman" w:hAnsi="Times New Roman"/>
          <w:b/>
          <w:bCs/>
        </w:rPr>
        <w:t xml:space="preserve">1.4.8. </w:t>
      </w:r>
      <w:r>
        <w:rPr>
          <w:rFonts w:ascii="Times New Roman" w:hAnsi="Times New Roman"/>
        </w:rPr>
        <w:t>Wymiar kruszywa – wielkość ziaren kruszywa, określona przez dolny (d) i górny (D) wymiar sita.</w:t>
      </w:r>
    </w:p>
    <w:p w:rsidR="00CD292D" w:rsidRDefault="00CD292D" w:rsidP="00CD292D">
      <w:pPr>
        <w:pStyle w:val="StylIwony"/>
        <w:spacing w:after="0"/>
      </w:pPr>
      <w:r>
        <w:rPr>
          <w:rFonts w:ascii="Times New Roman" w:hAnsi="Times New Roman"/>
          <w:b/>
          <w:bCs/>
        </w:rPr>
        <w:t xml:space="preserve">1.4.9. </w:t>
      </w:r>
      <w:r>
        <w:rPr>
          <w:rFonts w:ascii="Times New Roman" w:hAnsi="Times New Roman"/>
        </w:rPr>
        <w:t>Kruszywo grube – kruszywo z ziaren o wymiarze: D ≤ 45 mm oraz d &gt; 2 mm.</w:t>
      </w:r>
    </w:p>
    <w:p w:rsidR="00CD292D" w:rsidRDefault="00CD292D" w:rsidP="00CD292D">
      <w:pPr>
        <w:pStyle w:val="StylIwony"/>
        <w:spacing w:after="0"/>
      </w:pPr>
      <w:r>
        <w:rPr>
          <w:rFonts w:ascii="Times New Roman" w:hAnsi="Times New Roman"/>
          <w:b/>
          <w:bCs/>
        </w:rPr>
        <w:t xml:space="preserve">1.4.10. </w:t>
      </w:r>
      <w:r>
        <w:rPr>
          <w:rFonts w:ascii="Times New Roman" w:hAnsi="Times New Roman"/>
        </w:rPr>
        <w:t>Kruszywo drobne – kruszywo z ziaren o wymiarze: D ≤ 2 mm, którego większa część pozostaje na sicie 0,063 mm.</w:t>
      </w:r>
    </w:p>
    <w:p w:rsidR="00CD292D" w:rsidRDefault="00CD292D" w:rsidP="00CD292D">
      <w:pPr>
        <w:pStyle w:val="StylIwony"/>
        <w:spacing w:after="0"/>
      </w:pPr>
      <w:r>
        <w:rPr>
          <w:rFonts w:ascii="Times New Roman" w:hAnsi="Times New Roman"/>
          <w:b/>
          <w:bCs/>
        </w:rPr>
        <w:t xml:space="preserve">1.4.11. </w:t>
      </w:r>
      <w:r>
        <w:rPr>
          <w:rFonts w:ascii="Times New Roman" w:hAnsi="Times New Roman"/>
        </w:rPr>
        <w:t>Pył – kruszywo z ziaren przechodzących przez sito 0,063 mm.</w:t>
      </w:r>
    </w:p>
    <w:p w:rsidR="00CD292D" w:rsidRDefault="00CD292D" w:rsidP="00CD292D">
      <w:pPr>
        <w:pStyle w:val="StylIwony"/>
        <w:spacing w:after="0"/>
      </w:pPr>
      <w:r>
        <w:rPr>
          <w:rFonts w:ascii="Times New Roman" w:hAnsi="Times New Roman"/>
          <w:b/>
          <w:bCs/>
        </w:rPr>
        <w:t xml:space="preserve">1.4.12. </w:t>
      </w:r>
      <w:r>
        <w:rPr>
          <w:rFonts w:ascii="Times New Roman" w:hAnsi="Times New Roman"/>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CD292D" w:rsidRDefault="00CD292D" w:rsidP="00CD292D">
      <w:pPr>
        <w:pStyle w:val="StylIwony"/>
        <w:spacing w:after="0"/>
      </w:pPr>
      <w:r>
        <w:rPr>
          <w:rFonts w:ascii="Times New Roman" w:hAnsi="Times New Roman"/>
          <w:b/>
          <w:bCs/>
        </w:rPr>
        <w:t xml:space="preserve">1.4.13. </w:t>
      </w:r>
      <w:r>
        <w:rPr>
          <w:rFonts w:ascii="Times New Roman" w:hAnsi="Times New Roman"/>
        </w:rPr>
        <w:t>Kationowa emulsja asfaltowa – emulsja, w której emulgator nadaje dodatnie ładunki cząstkom zdyspergowanego asfaltu.</w:t>
      </w:r>
    </w:p>
    <w:p w:rsidR="00CD292D" w:rsidRDefault="00CD292D" w:rsidP="00CD292D">
      <w:r>
        <w:rPr>
          <w:b/>
          <w:bCs/>
        </w:rPr>
        <w:t>1.4.14.</w:t>
      </w:r>
      <w:r>
        <w:t xml:space="preserve">Połączenia technologiczne </w:t>
      </w:r>
      <w:r>
        <w:rPr>
          <w:b/>
          <w:bCs/>
        </w:rPr>
        <w:t xml:space="preserve">– </w:t>
      </w:r>
      <w:r>
        <w:t>połączenia rożnych warstw ze sobą lub tych samych</w:t>
      </w:r>
    </w:p>
    <w:p w:rsidR="00CD292D" w:rsidRDefault="00CD292D" w:rsidP="00CD292D">
      <w:r>
        <w:t>warstw wykonywanych w rożnym czasie nie będących połączeniem międzywarstwowym</w:t>
      </w:r>
    </w:p>
    <w:p w:rsidR="00CD292D" w:rsidRDefault="00CD292D" w:rsidP="00CD292D">
      <w:r>
        <w:rPr>
          <w:b/>
          <w:bCs/>
        </w:rPr>
        <w:t>1.4.15.</w:t>
      </w:r>
      <w:r>
        <w:t>Złącza podłużne i poprzeczne</w:t>
      </w:r>
      <w:r>
        <w:rPr>
          <w:b/>
          <w:bCs/>
        </w:rPr>
        <w:t xml:space="preserve"> </w:t>
      </w:r>
      <w:r>
        <w:t>– połączenia tego samego materiału wbudowywanego</w:t>
      </w:r>
    </w:p>
    <w:p w:rsidR="00CD292D" w:rsidRDefault="00CD292D" w:rsidP="00CD292D">
      <w:r>
        <w:t>w rożnym czasie</w:t>
      </w:r>
    </w:p>
    <w:p w:rsidR="00CD292D" w:rsidRDefault="00CD292D" w:rsidP="00CD292D">
      <w:r>
        <w:rPr>
          <w:b/>
          <w:bCs/>
        </w:rPr>
        <w:t>1.4.16.</w:t>
      </w:r>
      <w:r>
        <w:t>Spoiny – połączenia rożnych materiałów, np. asfaltu lanego i betonu asfaltowego oraz warstwy asfaltowej z urządzeniami obcymi w nawierzchni lub ją ograniczającymi</w:t>
      </w:r>
    </w:p>
    <w:p w:rsidR="00CD292D" w:rsidRDefault="00CD292D" w:rsidP="00CD292D">
      <w:pPr>
        <w:pStyle w:val="StylIwony"/>
        <w:spacing w:after="0"/>
      </w:pPr>
      <w:r>
        <w:rPr>
          <w:rFonts w:ascii="Times New Roman" w:hAnsi="Times New Roman"/>
          <w:b/>
          <w:bCs/>
        </w:rPr>
        <w:t xml:space="preserve">1.4.17. </w:t>
      </w:r>
      <w:r>
        <w:rPr>
          <w:rFonts w:ascii="Times New Roman" w:hAnsi="Times New Roman"/>
        </w:rPr>
        <w:t>Pozostałe określenia podstawowe są zgodne z obowiązującymi, odpowiednimi polskimi normami i z definicjami podanymi w OST D-M-00.00.00 „Wymagania ogólne” pkt 1.4.</w:t>
      </w:r>
    </w:p>
    <w:p w:rsidR="00CD292D" w:rsidRDefault="00CD292D" w:rsidP="00CD292D">
      <w:pPr>
        <w:pStyle w:val="StylIwony"/>
      </w:pPr>
      <w:r>
        <w:rPr>
          <w:rFonts w:ascii="Times New Roman" w:hAnsi="Times New Roman"/>
          <w:b/>
          <w:bCs/>
        </w:rPr>
        <w:t xml:space="preserve">1.4.15. </w:t>
      </w:r>
      <w:r>
        <w:rPr>
          <w:rFonts w:ascii="Times New Roman" w:hAnsi="Times New Roman"/>
        </w:rPr>
        <w:t>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AC_S</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beton asfaltowy do warstwy ścieralnej</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PMB</w:t>
            </w:r>
          </w:p>
        </w:tc>
        <w:tc>
          <w:tcPr>
            <w:tcW w:w="8131" w:type="dxa"/>
            <w:tcMar>
              <w:top w:w="0" w:type="dxa"/>
              <w:left w:w="108" w:type="dxa"/>
              <w:bottom w:w="0" w:type="dxa"/>
              <w:right w:w="108" w:type="dxa"/>
            </w:tcMar>
            <w:hideMark/>
          </w:tcPr>
          <w:p w:rsidR="00CD292D" w:rsidRDefault="00CD292D">
            <w:pPr>
              <w:pStyle w:val="StylIwony"/>
              <w:spacing w:before="0" w:after="0"/>
              <w:ind w:left="318" w:hanging="219"/>
              <w:rPr>
                <w:lang w:val="en-US"/>
              </w:rPr>
            </w:pPr>
            <w:r>
              <w:rPr>
                <w:rFonts w:ascii="Times New Roman" w:hAnsi="Times New Roman"/>
                <w:sz w:val="16"/>
                <w:szCs w:val="16"/>
                <w:lang w:val="en-US"/>
              </w:rPr>
              <w:t>–</w:t>
            </w:r>
            <w:r>
              <w:rPr>
                <w:rFonts w:ascii="Times New Roman" w:hAnsi="Times New Roman"/>
                <w:sz w:val="14"/>
                <w:szCs w:val="14"/>
                <w:lang w:val="en-US"/>
              </w:rPr>
              <w:t xml:space="preserve">    </w:t>
            </w:r>
            <w:r>
              <w:rPr>
                <w:rFonts w:ascii="Times New Roman" w:hAnsi="Times New Roman"/>
                <w:lang w:val="en-US"/>
              </w:rPr>
              <w:t>polimeroasfalt (ang. polymer modified bitumen),</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MG</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asfalt wielorodzajowy (ang. multigrade),</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D</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górny wymiar sita (przy określaniu wielkości ziaren kruszywa),</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d</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dolny wymiar sita (przy określaniu wielkości ziaren kruszywa),</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C</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kationowa emulsja asfaltowa,</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NPD</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właściwość użytkowa nie określana (ang. No Performance Determined; producent może jej nie określać),</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TBR</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do zadeklarowania (ang. To Be Reported; producent może dostarczyć odpowiednie informacje, jednak nie jest do tego zobowiązany),</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IRI</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międzynarodowy wskaźnik równości (ang. International Roughness Index),</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MOP</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 xml:space="preserve">miejsce obsługi podróżnych. </w:t>
            </w:r>
          </w:p>
        </w:tc>
      </w:tr>
      <w:tr w:rsidR="00CD292D" w:rsidTr="00CD292D">
        <w:tc>
          <w:tcPr>
            <w:tcW w:w="73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ZKP</w:t>
            </w:r>
          </w:p>
        </w:tc>
        <w:tc>
          <w:tcPr>
            <w:tcW w:w="8131" w:type="dxa"/>
            <w:tcMar>
              <w:top w:w="0" w:type="dxa"/>
              <w:left w:w="108" w:type="dxa"/>
              <w:bottom w:w="0" w:type="dxa"/>
              <w:right w:w="108" w:type="dxa"/>
            </w:tcMar>
            <w:hideMark/>
          </w:tcPr>
          <w:p w:rsidR="00CD292D" w:rsidRDefault="00CD292D">
            <w:pPr>
              <w:pStyle w:val="StylIwony"/>
              <w:spacing w:before="0" w:after="0"/>
              <w:ind w:left="318" w:hanging="219"/>
            </w:pPr>
            <w:r>
              <w:rPr>
                <w:rFonts w:ascii="Times New Roman" w:hAnsi="Times New Roman"/>
                <w:sz w:val="16"/>
                <w:szCs w:val="16"/>
              </w:rPr>
              <w:t>–</w:t>
            </w:r>
            <w:r>
              <w:rPr>
                <w:rFonts w:ascii="Times New Roman" w:hAnsi="Times New Roman"/>
                <w:sz w:val="14"/>
                <w:szCs w:val="14"/>
              </w:rPr>
              <w:t xml:space="preserve">    </w:t>
            </w:r>
            <w:r>
              <w:rPr>
                <w:rFonts w:ascii="Times New Roman" w:hAnsi="Times New Roman"/>
              </w:rPr>
              <w:t>zakładowa kontrola produkcji</w:t>
            </w:r>
          </w:p>
        </w:tc>
      </w:tr>
    </w:tbl>
    <w:p w:rsidR="00CD292D" w:rsidRDefault="00CD292D" w:rsidP="00CD292D">
      <w:pPr>
        <w:spacing w:before="120"/>
        <w:rPr>
          <w:rFonts w:eastAsiaTheme="minorEastAsia"/>
        </w:rPr>
      </w:pPr>
      <w:r>
        <w:rPr>
          <w:b/>
          <w:bCs/>
        </w:rPr>
        <w:t>1.4</w:t>
      </w:r>
      <w:r>
        <w:t>.</w:t>
      </w:r>
      <w:r>
        <w:rPr>
          <w:b/>
          <w:bCs/>
        </w:rPr>
        <w:t xml:space="preserve">16. </w:t>
      </w:r>
      <w:r>
        <w:t>Pozostałe określenia podstawowe są zgodne z obowiązującymi, odpowiednimi polskimi normami i z definicjami podanymi w OST D-M-00.00.00 „Wymagania ogólne”[1] pkt 1.4.</w:t>
      </w:r>
    </w:p>
    <w:p w:rsidR="00CD292D" w:rsidRDefault="00CD292D" w:rsidP="00CD292D">
      <w:pPr>
        <w:pStyle w:val="Nagwek2"/>
        <w:rPr>
          <w:rFonts w:eastAsia="Times New Roman"/>
        </w:rPr>
      </w:pPr>
      <w:r>
        <w:rPr>
          <w:rFonts w:eastAsia="Times New Roman"/>
        </w:rPr>
        <w:lastRenderedPageBreak/>
        <w:t>1.5. Ogólne wymagania dotyczące robót</w:t>
      </w:r>
    </w:p>
    <w:p w:rsidR="00CD292D" w:rsidRDefault="00CD292D" w:rsidP="00CD292D">
      <w:pPr>
        <w:rPr>
          <w:rFonts w:eastAsiaTheme="minorEastAsia"/>
        </w:rPr>
      </w:pPr>
      <w:r>
        <w:t>            Ogólne wymagania dotyczące robót podano w OST D-M-00.00.00 „Wymagania ogólne” [1] pkt 1.5.</w:t>
      </w:r>
    </w:p>
    <w:p w:rsidR="00CD292D" w:rsidRDefault="00CD292D" w:rsidP="00CD292D">
      <w:pPr>
        <w:pStyle w:val="Nagwek1"/>
        <w:rPr>
          <w:rFonts w:eastAsia="Times New Roman"/>
        </w:rPr>
      </w:pPr>
      <w:bookmarkStart w:id="516" w:name="_Toc412637945"/>
      <w:r>
        <w:rPr>
          <w:rFonts w:eastAsia="Times New Roman"/>
        </w:rPr>
        <w:t>2. Materiały</w:t>
      </w:r>
      <w:bookmarkEnd w:id="516"/>
    </w:p>
    <w:p w:rsidR="00CD292D" w:rsidRDefault="00CD292D" w:rsidP="00CD292D">
      <w:pPr>
        <w:pStyle w:val="Nagwek2"/>
        <w:rPr>
          <w:rFonts w:eastAsia="Times New Roman"/>
        </w:rPr>
      </w:pPr>
      <w:r>
        <w:rPr>
          <w:rFonts w:eastAsia="Times New Roman"/>
        </w:rPr>
        <w:t>2.1. Ogólne wymagania dotyczące materiałów</w:t>
      </w:r>
    </w:p>
    <w:p w:rsidR="00CD292D" w:rsidRDefault="00CD292D" w:rsidP="00CD292D">
      <w:pPr>
        <w:rPr>
          <w:rFonts w:eastAsiaTheme="minorEastAsia"/>
        </w:rPr>
      </w:pPr>
      <w:r>
        <w:t>            Ogólne wymagania dotyczące materiałów, ich pozyskiwania i składowania, podano w  OST D-M-00.00.00 „Wymagania ogólne” [1] pkt 2.</w:t>
      </w:r>
    </w:p>
    <w:p w:rsidR="00CD292D" w:rsidRDefault="00CD292D" w:rsidP="00CD292D">
      <w:pPr>
        <w:ind w:firstLine="709"/>
      </w:pPr>
      <w: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CD292D" w:rsidRDefault="00CD292D" w:rsidP="00CD292D">
      <w:pPr>
        <w:pStyle w:val="StylIwony"/>
        <w:spacing w:before="0" w:after="0"/>
        <w:ind w:firstLine="709"/>
      </w:pPr>
      <w:r>
        <w:rPr>
          <w:rFonts w:ascii="Times New Roman" w:hAnsi="Times New Roman"/>
        </w:rPr>
        <w:t>Wbudowywana mieszanka mineralno-asfaltowa może pochodzić z kilku wytwórni pod warunkiem, że jest produkowana z tych samych materiałów (o ustalonej przydatności ) i w oparciu o takie samo badanie typu.</w:t>
      </w:r>
    </w:p>
    <w:p w:rsidR="00CD292D" w:rsidRDefault="00CD292D" w:rsidP="00CD292D">
      <w:pPr>
        <w:pStyle w:val="Nagwek2"/>
        <w:rPr>
          <w:rFonts w:eastAsia="Times New Roman"/>
        </w:rPr>
      </w:pPr>
      <w:r>
        <w:rPr>
          <w:rFonts w:eastAsia="Times New Roman"/>
        </w:rPr>
        <w:t>2.2. Lepiszcza asfaltowe</w:t>
      </w:r>
    </w:p>
    <w:p w:rsidR="00CD292D" w:rsidRDefault="00CD292D" w:rsidP="00CD292D">
      <w:pPr>
        <w:rPr>
          <w:rFonts w:eastAsiaTheme="minorEastAsia"/>
        </w:rPr>
      </w:pPr>
      <w:r>
        <w:t xml:space="preserve">            Należy stosować asfalty drogowe wg PN-EN 12591 [24] lub polimeroasfalty wg PN-EN 14023 [64] [64a] oraz asfalty drogowe wielorodzajowe wg PN-EN 13924-2 [63] [63a]. </w:t>
      </w:r>
    </w:p>
    <w:p w:rsidR="00CD292D" w:rsidRDefault="00CD292D" w:rsidP="00CD292D">
      <w:pPr>
        <w:ind w:firstLine="709"/>
      </w:pPr>
      <w:r>
        <w:t>Rodzaje stosowanych lepiszcz asfaltowych podano w tablicy 2. Oprócz lepiszcz wymienionych w tablicy 2 można stosować inne lepiszcza nienormowe według aprobat technicznych.</w:t>
      </w:r>
    </w:p>
    <w:p w:rsidR="00CD292D" w:rsidRDefault="00CD292D" w:rsidP="00CD292D">
      <w:pPr>
        <w:spacing w:before="60" w:after="60"/>
      </w:pPr>
      <w: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CD292D" w:rsidTr="00CD292D">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Kategoria</w:t>
            </w:r>
          </w:p>
          <w:p w:rsidR="00CD292D" w:rsidRDefault="00CD292D">
            <w:pPr>
              <w:spacing w:after="60"/>
              <w:jc w:val="center"/>
            </w:pPr>
            <w: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Mieszanka</w:t>
            </w:r>
          </w:p>
          <w:p w:rsidR="00CD292D" w:rsidRDefault="00CD292D">
            <w:pPr>
              <w:spacing w:after="60"/>
              <w:jc w:val="center"/>
            </w:pPr>
            <w: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xml:space="preserve">Gatunek lepiszcza   </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after="60"/>
              <w:jc w:val="center"/>
            </w:pPr>
            <w: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after="60"/>
              <w:jc w:val="center"/>
            </w:pPr>
            <w:r>
              <w:t>polimeroasfalt</w:t>
            </w:r>
          </w:p>
        </w:tc>
      </w:tr>
      <w:tr w:rsidR="00CD292D" w:rsidTr="00CD292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50/70, 70/100</w:t>
            </w:r>
          </w:p>
          <w:p w:rsidR="00CD292D" w:rsidRDefault="00CD292D">
            <w:pPr>
              <w:jc w:val="center"/>
            </w:pPr>
            <w: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vertAlign w:val="superscript"/>
              </w:rPr>
              <w:t> </w:t>
            </w:r>
          </w:p>
          <w:p w:rsidR="00CD292D" w:rsidRDefault="00CD292D">
            <w:pPr>
              <w:jc w:val="center"/>
            </w:pPr>
            <w:r>
              <w:rPr>
                <w:vertAlign w:val="superscript"/>
              </w:rPr>
              <w:t>-</w:t>
            </w:r>
          </w:p>
        </w:tc>
      </w:tr>
      <w:tr w:rsidR="00CD292D" w:rsidTr="00CD292D">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50/70</w:t>
            </w:r>
          </w:p>
          <w:p w:rsidR="00CD292D" w:rsidRDefault="00CD292D">
            <w:pPr>
              <w:spacing w:after="60"/>
              <w:jc w:val="center"/>
            </w:pPr>
            <w: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spacing w:before="60"/>
              <w:jc w:val="center"/>
            </w:pPr>
            <w:r>
              <w:t>PMB 45/80-55</w:t>
            </w:r>
          </w:p>
          <w:p w:rsidR="00CD292D" w:rsidRDefault="00CD292D">
            <w:pPr>
              <w:spacing w:after="60"/>
              <w:jc w:val="center"/>
            </w:pPr>
            <w:r>
              <w:t>PMB 45/80-65</w:t>
            </w:r>
          </w:p>
        </w:tc>
      </w:tr>
      <w:tr w:rsidR="00CD292D" w:rsidTr="00CD292D">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w:t>
            </w:r>
          </w:p>
          <w:p w:rsidR="00CD292D" w:rsidRDefault="00CD292D">
            <w:pPr>
              <w:spacing w:before="60"/>
              <w:jc w:val="center"/>
            </w:pPr>
            <w: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pPr>
            <w:r>
              <w:t> </w:t>
            </w:r>
          </w:p>
          <w:p w:rsidR="00CD292D" w:rsidRDefault="00CD292D">
            <w:pPr>
              <w:spacing w:before="60"/>
            </w:pPr>
            <w: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 </w:t>
            </w:r>
          </w:p>
          <w:p w:rsidR="00CD292D" w:rsidRDefault="00CD292D">
            <w:pPr>
              <w:spacing w:before="60"/>
              <w:jc w:val="center"/>
            </w:pPr>
            <w: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PMB 45/80-55</w:t>
            </w:r>
          </w:p>
          <w:p w:rsidR="00CD292D" w:rsidRDefault="00CD292D">
            <w:pPr>
              <w:jc w:val="center"/>
            </w:pPr>
            <w:r>
              <w:t>PMB 45/80-65</w:t>
            </w:r>
          </w:p>
          <w:p w:rsidR="00CD292D" w:rsidRDefault="00CD292D">
            <w:pPr>
              <w:spacing w:after="60"/>
              <w:jc w:val="center"/>
            </w:pPr>
            <w:r>
              <w:t>PMB 45/80-80</w:t>
            </w:r>
          </w:p>
        </w:tc>
      </w:tr>
    </w:tbl>
    <w:p w:rsidR="00CD292D" w:rsidRDefault="00CD292D" w:rsidP="00CD292D">
      <w:pPr>
        <w:ind w:left="993" w:hanging="993"/>
        <w:rPr>
          <w:rFonts w:eastAsiaTheme="minorEastAsia"/>
        </w:rPr>
      </w:pPr>
      <w:r>
        <w:rPr>
          <w:sz w:val="16"/>
          <w:szCs w:val="16"/>
        </w:rPr>
        <w:t> </w:t>
      </w:r>
    </w:p>
    <w:p w:rsidR="00CD292D" w:rsidRDefault="00CD292D" w:rsidP="00CD292D">
      <w:pPr>
        <w:ind w:firstLine="709"/>
      </w:pPr>
      <w:r>
        <w:t>Asfalty drogowe powinny spełniać wymagania podane w tablicy 3.  Polimeroasfalty  powinny spełniać wymagania podane  w tablicy 4. Asfalt wielorodzajowy powinien spełniać wymagania podane w tablicy 5.</w:t>
      </w:r>
    </w:p>
    <w:p w:rsidR="00CD292D" w:rsidRDefault="00CD292D" w:rsidP="00CD292D">
      <w:pPr>
        <w:spacing w:before="120" w:after="120"/>
      </w:pPr>
      <w:r>
        <w:t>Tablica 3. Wymagania wobec asfaltów drogowych wg PN-EN 12591 [24]</w:t>
      </w:r>
    </w:p>
    <w:tbl>
      <w:tblPr>
        <w:tblW w:w="10557" w:type="dxa"/>
        <w:tblInd w:w="-1495" w:type="dxa"/>
        <w:tblCellMar>
          <w:left w:w="0" w:type="dxa"/>
          <w:right w:w="0" w:type="dxa"/>
        </w:tblCellMar>
        <w:tblLook w:val="04A0" w:firstRow="1" w:lastRow="0" w:firstColumn="1" w:lastColumn="0" w:noHBand="0" w:noVBand="1"/>
      </w:tblPr>
      <w:tblGrid>
        <w:gridCol w:w="651"/>
        <w:gridCol w:w="3825"/>
        <w:gridCol w:w="264"/>
        <w:gridCol w:w="1107"/>
        <w:gridCol w:w="2117"/>
        <w:gridCol w:w="1359"/>
        <w:gridCol w:w="1234"/>
      </w:tblGrid>
      <w:tr w:rsidR="00CD292D" w:rsidTr="001B2C9F">
        <w:tc>
          <w:tcPr>
            <w:tcW w:w="65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Lp.</w:t>
            </w:r>
          </w:p>
        </w:tc>
        <w:tc>
          <w:tcPr>
            <w:tcW w:w="4089"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CD292D" w:rsidRDefault="00CD292D">
            <w:pPr>
              <w:jc w:val="center"/>
            </w:pPr>
            <w:r>
              <w:t>Właściwości</w:t>
            </w:r>
          </w:p>
        </w:tc>
        <w:tc>
          <w:tcPr>
            <w:tcW w:w="1107" w:type="dxa"/>
            <w:vMerge w:val="restart"/>
            <w:tcBorders>
              <w:top w:val="single" w:sz="8" w:space="0" w:color="auto"/>
              <w:left w:val="single" w:sz="4" w:space="0" w:color="auto"/>
              <w:bottom w:val="single" w:sz="8" w:space="0" w:color="auto"/>
              <w:right w:val="single" w:sz="8" w:space="0" w:color="auto"/>
            </w:tcBorders>
            <w:vAlign w:val="center"/>
            <w:hideMark/>
          </w:tcPr>
          <w:p w:rsidR="00CD292D" w:rsidRDefault="00CD292D">
            <w:pPr>
              <w:jc w:val="center"/>
            </w:pPr>
            <w:r>
              <w:t>Jednostka</w:t>
            </w:r>
          </w:p>
        </w:tc>
        <w:tc>
          <w:tcPr>
            <w:tcW w:w="211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w:t>
            </w:r>
          </w:p>
          <w:p w:rsidR="00CD292D" w:rsidRDefault="00CD292D">
            <w:pPr>
              <w:jc w:val="center"/>
            </w:pPr>
            <w:r>
              <w:t>badania</w:t>
            </w:r>
          </w:p>
        </w:tc>
        <w:tc>
          <w:tcPr>
            <w:tcW w:w="259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Rodzaj asfaltu</w:t>
            </w:r>
          </w:p>
        </w:tc>
      </w:tr>
      <w:tr w:rsidR="00CD292D" w:rsidTr="001B2C9F">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gridSpan w:val="2"/>
            <w:vMerge/>
            <w:tcBorders>
              <w:top w:val="single" w:sz="8" w:space="0" w:color="auto"/>
              <w:left w:val="nil"/>
              <w:bottom w:val="single" w:sz="8" w:space="0" w:color="auto"/>
              <w:right w:val="single" w:sz="4"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50/70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70/100</w:t>
            </w:r>
          </w:p>
        </w:tc>
      </w:tr>
      <w:tr w:rsidR="00CD292D" w:rsidTr="001B2C9F">
        <w:tc>
          <w:tcPr>
            <w:tcW w:w="10557"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WŁAŚCIWOŚCI   OBLIGATORYJNE</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Penetracja w 25°C</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0,1 mm</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1426 [21]</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50-70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70-100</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2</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Temperatura mięknienia</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1427 [22]</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46-54</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43-51</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Temperatura zapłonu, </w:t>
            </w:r>
          </w:p>
          <w:p w:rsidR="00CD292D" w:rsidRDefault="00CD292D">
            <w:r>
              <w:t>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22592 [67]</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230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230</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Zawartość składników rozpuszczalnych, </w:t>
            </w:r>
          </w:p>
          <w:p w:rsidR="00CD292D" w:rsidRDefault="00CD292D">
            <w:r>
              <w:t>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m/m</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12592 [25]</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99</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99</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Zmiana masy po starzeniu (ubytek lub przyrost), </w:t>
            </w:r>
          </w:p>
          <w:p w:rsidR="00CD292D" w:rsidRDefault="00CD292D">
            <w:r>
              <w:t>nie więcej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m/m</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12607-1 [30]</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0,5</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0,8</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Pozostała penetracja po starzeniu, 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1426 [21]</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50</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46</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po starzeniu, nie mniej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 [22]</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48</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45</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Wzrost temp. mięknienia po starzeniu, nie więcej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 [22]</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9</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9</w:t>
            </w:r>
          </w:p>
        </w:tc>
      </w:tr>
      <w:tr w:rsidR="00CD292D" w:rsidTr="001B2C9F">
        <w:tc>
          <w:tcPr>
            <w:tcW w:w="10557"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SPECJALNE   KRAJOWE</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łamliwości Fraassa, nie więcej niż</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°C</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12593 [26]</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-8</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-10</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Indeks penetracji</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12591 [24]</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dynamiczna w 60°C</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Pa∙s</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12596 [28]</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r>
      <w:tr w:rsidR="00CD292D" w:rsidTr="001B2C9F">
        <w:tc>
          <w:tcPr>
            <w:tcW w:w="65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c>
          <w:tcPr>
            <w:tcW w:w="382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kinematyczna w 135°C</w:t>
            </w:r>
          </w:p>
        </w:tc>
        <w:tc>
          <w:tcPr>
            <w:tcW w:w="13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mm</w:t>
            </w:r>
            <w:r>
              <w:rPr>
                <w:vertAlign w:val="superscript"/>
              </w:rPr>
              <w:t>2</w:t>
            </w:r>
            <w:r>
              <w:t>/s</w:t>
            </w:r>
          </w:p>
        </w:tc>
        <w:tc>
          <w:tcPr>
            <w:tcW w:w="211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12595 [27]</w:t>
            </w:r>
          </w:p>
        </w:tc>
        <w:tc>
          <w:tcPr>
            <w:tcW w:w="135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Brak wymagań</w:t>
            </w:r>
          </w:p>
        </w:tc>
      </w:tr>
    </w:tbl>
    <w:tbl>
      <w:tblPr>
        <w:tblpPr w:leftFromText="141" w:rightFromText="141" w:vertAnchor="text" w:horzAnchor="margin" w:tblpXSpec="center" w:tblpY="-892"/>
        <w:tblW w:w="10625" w:type="dxa"/>
        <w:tblCellMar>
          <w:left w:w="0" w:type="dxa"/>
          <w:right w:w="0" w:type="dxa"/>
        </w:tblCellMar>
        <w:tblLook w:val="04A0" w:firstRow="1" w:lastRow="0" w:firstColumn="1" w:lastColumn="0" w:noHBand="0" w:noVBand="1"/>
      </w:tblPr>
      <w:tblGrid>
        <w:gridCol w:w="2157"/>
        <w:gridCol w:w="1515"/>
        <w:gridCol w:w="1196"/>
        <w:gridCol w:w="851"/>
        <w:gridCol w:w="850"/>
        <w:gridCol w:w="709"/>
        <w:gridCol w:w="851"/>
        <w:gridCol w:w="708"/>
        <w:gridCol w:w="822"/>
        <w:gridCol w:w="966"/>
      </w:tblGrid>
      <w:tr w:rsidR="001B2C9F" w:rsidTr="001B2C9F">
        <w:tc>
          <w:tcPr>
            <w:tcW w:w="215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lastRenderedPageBreak/>
              <w:t>Wymaganie</w:t>
            </w:r>
          </w:p>
          <w:p w:rsidR="001B2C9F" w:rsidRDefault="001B2C9F" w:rsidP="001B2C9F">
            <w:pPr>
              <w:jc w:val="center"/>
            </w:pPr>
            <w:r>
              <w:t>podstawowe</w:t>
            </w:r>
          </w:p>
        </w:tc>
        <w:tc>
          <w:tcPr>
            <w:tcW w:w="151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Właściwość</w:t>
            </w:r>
          </w:p>
        </w:tc>
        <w:tc>
          <w:tcPr>
            <w:tcW w:w="119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Metoda</w:t>
            </w:r>
          </w:p>
          <w:p w:rsidR="001B2C9F" w:rsidRDefault="001B2C9F" w:rsidP="001B2C9F">
            <w:pPr>
              <w:jc w:val="center"/>
            </w:pPr>
            <w: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Jed-</w:t>
            </w:r>
          </w:p>
          <w:p w:rsidR="001B2C9F" w:rsidRDefault="001B2C9F" w:rsidP="001B2C9F">
            <w:pPr>
              <w:jc w:val="center"/>
            </w:pPr>
            <w:r>
              <w:t>nostka</w:t>
            </w:r>
          </w:p>
        </w:tc>
        <w:tc>
          <w:tcPr>
            <w:tcW w:w="490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Gatunki asfaltów modyfikowanych polimerami (PMB)</w:t>
            </w:r>
          </w:p>
        </w:tc>
      </w:tr>
      <w:tr w:rsidR="001B2C9F" w:rsidTr="001B2C9F">
        <w:tc>
          <w:tcPr>
            <w:tcW w:w="0" w:type="auto"/>
            <w:vMerge/>
            <w:tcBorders>
              <w:top w:val="single" w:sz="8" w:space="0" w:color="auto"/>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jc w:val="center"/>
            </w:pPr>
            <w: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jc w:val="center"/>
            </w:pPr>
            <w:r>
              <w:t>45/80 – 65</w:t>
            </w:r>
          </w:p>
        </w:tc>
        <w:tc>
          <w:tcPr>
            <w:tcW w:w="178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jc w:val="center"/>
            </w:pPr>
            <w:r>
              <w:t>45/80 - 80</w:t>
            </w:r>
          </w:p>
        </w:tc>
      </w:tr>
      <w:tr w:rsidR="001B2C9F" w:rsidTr="001B2C9F">
        <w:tc>
          <w:tcPr>
            <w:tcW w:w="0" w:type="auto"/>
            <w:vMerge/>
            <w:tcBorders>
              <w:top w:val="single" w:sz="8" w:space="0" w:color="auto"/>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pPr>
              <w:spacing w:after="60"/>
            </w:pPr>
            <w:r>
              <w:t>wyma-ganie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klasa</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wyma-ganie</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hideMark/>
          </w:tcPr>
          <w:p w:rsidR="001B2C9F" w:rsidRDefault="001B2C9F" w:rsidP="001B2C9F">
            <w:r>
              <w:t>klasa</w:t>
            </w:r>
          </w:p>
        </w:tc>
      </w:tr>
      <w:tr w:rsidR="001B2C9F" w:rsidTr="001B2C9F">
        <w:tc>
          <w:tcPr>
            <w:tcW w:w="21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B2C9F" w:rsidRDefault="001B2C9F" w:rsidP="001B2C9F">
            <w:r>
              <w:t>Konsystencja w pośrednich temperaturach eksploatacyjnych</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 xml:space="preserve">Penetracja </w:t>
            </w:r>
          </w:p>
          <w:p w:rsidR="001B2C9F" w:rsidRDefault="001B2C9F" w:rsidP="001B2C9F">
            <w:r>
              <w:t>w 25°C</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45-80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r>
      <w:tr w:rsidR="001B2C9F" w:rsidTr="001B2C9F">
        <w:tc>
          <w:tcPr>
            <w:tcW w:w="215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B2C9F" w:rsidRDefault="001B2C9F" w:rsidP="001B2C9F">
            <w:r>
              <w:t>Konsystencja w wysokich  temperatu- rach eksploatacyjnych</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Temperatura mięknienia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5</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Kohezja</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Siła rozciąga-nia (metoda z duktylome-trem, rozciąganie 50 mm/min)</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3</w:t>
            </w:r>
          </w:p>
          <w:p w:rsidR="001B2C9F" w:rsidRDefault="001B2C9F" w:rsidP="001B2C9F">
            <w:pPr>
              <w:jc w:val="center"/>
            </w:pPr>
            <w: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p w:rsidR="001B2C9F" w:rsidRDefault="001B2C9F" w:rsidP="001B2C9F">
            <w:pPr>
              <w:jc w:val="center"/>
            </w:pPr>
            <w: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6</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p w:rsidR="001B2C9F" w:rsidRDefault="001B2C9F" w:rsidP="001B2C9F">
            <w:pPr>
              <w:jc w:val="center"/>
            </w:pPr>
            <w:r>
              <w:t>(w 10°C)</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Rozciąganie bezpośrednie w 5°C (rozciąganie 100 mm/min)</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Wahadło Vialit (meto-da uderzenia)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J/cm</w:t>
            </w:r>
            <w:r>
              <w:rPr>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Stałość kon-</w:t>
            </w:r>
          </w:p>
          <w:p w:rsidR="001B2C9F" w:rsidRDefault="001B2C9F" w:rsidP="001B2C9F">
            <w:r>
              <w:t>systencji (Odporność na starzenie)</w:t>
            </w:r>
          </w:p>
          <w:p w:rsidR="001B2C9F" w:rsidRDefault="001B2C9F" w:rsidP="001B2C9F">
            <w:r>
              <w:t>wg PN-EN 12607-1 [30]</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Zmiana masy</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0,5</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Pozostała penetracja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7</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 60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spacing w:before="120"/>
              <w:jc w:val="center"/>
            </w:pPr>
            <w:r>
              <w:t>7</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Wzrost tem-peratury mięknienia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21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Inne właściwości</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Temperatura zapłonu</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235</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Wymagania</w:t>
            </w:r>
          </w:p>
          <w:p w:rsidR="001B2C9F" w:rsidRDefault="001B2C9F" w:rsidP="001B2C9F">
            <w:r>
              <w:t>Dodatkowe</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Temperatura łamliwości</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7</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-18</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8</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Nawrót sprężysty w 25°C</w:t>
            </w:r>
          </w:p>
        </w:tc>
        <w:tc>
          <w:tcPr>
            <w:tcW w:w="119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13398</w:t>
            </w:r>
          </w:p>
          <w:p w:rsidR="001B2C9F" w:rsidRDefault="001B2C9F" w:rsidP="001B2C9F">
            <w:pPr>
              <w:jc w:val="center"/>
            </w:pPr>
            <w:r>
              <w:lastRenderedPageBreak/>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80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Nawrót sprężysty w 10°C</w:t>
            </w: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Zakres plastyczności</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Stabilność magazynowa-nia. Różnica temperatur mięknienia</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13399 [57]</w:t>
            </w:r>
          </w:p>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2</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Stabilność magazynowa-nia. Różnica penetracji</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13399 [57]</w:t>
            </w:r>
          </w:p>
          <w:p w:rsidR="001B2C9F" w:rsidRDefault="001B2C9F" w:rsidP="001B2C9F">
            <w:pPr>
              <w:jc w:val="center"/>
            </w:pPr>
            <w: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r>
      <w:tr w:rsidR="001B2C9F" w:rsidTr="001B2C9F">
        <w:tc>
          <w:tcPr>
            <w:tcW w:w="215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Wymagania</w:t>
            </w:r>
          </w:p>
          <w:p w:rsidR="001B2C9F" w:rsidRDefault="001B2C9F" w:rsidP="001B2C9F">
            <w:r>
              <w:t>Dodatkowe</w:t>
            </w: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Spadek tem-  peratury mięknienia po starzeniu wg PN-EN 12607</w:t>
            </w:r>
          </w:p>
          <w:p w:rsidR="001B2C9F" w:rsidRDefault="001B2C9F" w:rsidP="001B2C9F">
            <w:r>
              <w:t>-1  [30]</w:t>
            </w:r>
          </w:p>
        </w:tc>
        <w:tc>
          <w:tcPr>
            <w:tcW w:w="1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12607-1 [29]</w:t>
            </w:r>
          </w:p>
          <w:p w:rsidR="001B2C9F" w:rsidRDefault="001B2C9F" w:rsidP="001B2C9F">
            <w:pPr>
              <w:jc w:val="center"/>
            </w:pPr>
            <w: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 xml:space="preserve">Nawrót sprę-żysty w 25°C po starzeniu wg PN-EN 12607-1 [30] </w:t>
            </w:r>
          </w:p>
        </w:tc>
        <w:tc>
          <w:tcPr>
            <w:tcW w:w="119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PN-EN 12607-1 [30]</w:t>
            </w:r>
          </w:p>
          <w:p w:rsidR="001B2C9F" w:rsidRDefault="001B2C9F" w:rsidP="001B2C9F">
            <w:pPr>
              <w:jc w:val="center"/>
            </w:pPr>
            <w: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 60</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3</w:t>
            </w:r>
          </w:p>
        </w:tc>
      </w:tr>
      <w:tr w:rsidR="001B2C9F" w:rsidTr="001B2C9F">
        <w:tc>
          <w:tcPr>
            <w:tcW w:w="0" w:type="auto"/>
            <w:vMerge/>
            <w:tcBorders>
              <w:top w:val="nil"/>
              <w:left w:val="single" w:sz="8" w:space="0" w:color="auto"/>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15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r>
              <w:t>Nawrót sprę-żysty w 10°C po starzeniu wg PN-EN 12607-1  [30]</w:t>
            </w: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1B2C9F" w:rsidRDefault="001B2C9F" w:rsidP="001B2C9F">
            <w:pPr>
              <w:rPr>
                <w:rFonts w:eastAsiaTheme="minorEastAsia"/>
                <w:sz w:val="24"/>
                <w:szCs w:val="24"/>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NR</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0</w:t>
            </w: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TBR</w:t>
            </w:r>
            <w:r>
              <w:rPr>
                <w:vertAlign w:val="superscript"/>
              </w:rPr>
              <w:t>b</w:t>
            </w:r>
          </w:p>
        </w:tc>
        <w:tc>
          <w:tcPr>
            <w:tcW w:w="9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2C9F" w:rsidRDefault="001B2C9F" w:rsidP="001B2C9F">
            <w:pPr>
              <w:jc w:val="center"/>
            </w:pPr>
            <w:r>
              <w:t>1</w:t>
            </w:r>
          </w:p>
        </w:tc>
      </w:tr>
      <w:tr w:rsidR="001B2C9F" w:rsidTr="001B2C9F">
        <w:trPr>
          <w:trHeight w:val="558"/>
        </w:trPr>
        <w:tc>
          <w:tcPr>
            <w:tcW w:w="10625"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B2C9F" w:rsidRDefault="001B2C9F" w:rsidP="001B2C9F">
            <w:pPr>
              <w:rPr>
                <w:lang w:val="en-US"/>
              </w:rPr>
            </w:pPr>
            <w:r>
              <w:rPr>
                <w:vertAlign w:val="superscript"/>
                <w:lang w:val="en-US"/>
              </w:rPr>
              <w:t>a</w:t>
            </w:r>
            <w:r>
              <w:rPr>
                <w:lang w:val="en-US"/>
              </w:rPr>
              <w:t xml:space="preserve"> NR – No Requirements (brak wymagań)</w:t>
            </w:r>
          </w:p>
          <w:p w:rsidR="001B2C9F" w:rsidRDefault="001B2C9F" w:rsidP="001B2C9F">
            <w:r>
              <w:rPr>
                <w:vertAlign w:val="superscript"/>
              </w:rPr>
              <w:t>b</w:t>
            </w:r>
            <w:r>
              <w:t xml:space="preserve"> TBR – To Be Reported (do zadeklarowania)</w:t>
            </w:r>
          </w:p>
        </w:tc>
      </w:tr>
    </w:tbl>
    <w:p w:rsidR="00CD292D" w:rsidRDefault="00CD292D" w:rsidP="00CD292D">
      <w:pPr>
        <w:spacing w:before="240" w:after="120"/>
        <w:ind w:left="992" w:hanging="992"/>
        <w:rPr>
          <w:rFonts w:eastAsiaTheme="minorEastAsia"/>
        </w:rPr>
      </w:pPr>
      <w:r>
        <w:t>Tablica 4. Wymagania wobec asfaltów modyfikowanych polimerami (polimeroasfaltów) wg PN-EN 14023:2011/Ap1:2014-04 [64a]</w:t>
      </w:r>
    </w:p>
    <w:p w:rsidR="00CD292D" w:rsidRDefault="00CD292D" w:rsidP="00CD292D">
      <w:pPr>
        <w:spacing w:before="120" w:after="120"/>
        <w:ind w:left="993" w:hanging="993"/>
        <w:rPr>
          <w:rFonts w:eastAsiaTheme="minorEastAsia"/>
        </w:rPr>
      </w:pPr>
      <w: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CD292D" w:rsidTr="00CD292D">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CD292D" w:rsidRDefault="00CD292D">
            <w:pPr>
              <w:spacing w:before="120"/>
              <w:jc w:val="center"/>
            </w:pPr>
            <w: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rsidR="00CD292D" w:rsidRDefault="00CD292D">
            <w:pPr>
              <w:spacing w:before="120"/>
              <w:jc w:val="center"/>
            </w:pPr>
            <w: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w:t>
            </w:r>
          </w:p>
          <w:p w:rsidR="00CD292D" w:rsidRDefault="00CD292D">
            <w:pPr>
              <w:jc w:val="center"/>
            </w:pPr>
            <w:r>
              <w:lastRenderedPageBreak/>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lastRenderedPageBreak/>
              <w:t>asfalt</w:t>
            </w:r>
          </w:p>
          <w:p w:rsidR="00CD292D" w:rsidRDefault="00CD292D">
            <w:pPr>
              <w:jc w:val="center"/>
            </w:pPr>
            <w:r>
              <w:lastRenderedPageBreak/>
              <w:t>MG 50/70-54/64</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4"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4"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rsidR="00CD292D" w:rsidRDefault="00CD292D">
            <w:pPr>
              <w:spacing w:before="120"/>
            </w:pPr>
            <w: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łamliwości Fraassa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Pa∙s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mm</w:t>
            </w:r>
            <w:r>
              <w:rPr>
                <w:vertAlign w:val="superscript"/>
              </w:rPr>
              <w:t>2</w:t>
            </w:r>
            <w: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w:t>
            </w:r>
          </w:p>
        </w:tc>
      </w:tr>
      <w:tr w:rsidR="00CD292D" w:rsidTr="00CD292D">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bl>
    <w:p w:rsidR="00CD292D" w:rsidRDefault="00CD292D" w:rsidP="00CD292D">
      <w:pPr>
        <w:ind w:left="993" w:hanging="993"/>
        <w:rPr>
          <w:rFonts w:eastAsiaTheme="minorEastAsia"/>
        </w:rPr>
      </w:pPr>
      <w:r>
        <w:rPr>
          <w:sz w:val="16"/>
          <w:szCs w:val="16"/>
        </w:rPr>
        <w:t> </w:t>
      </w:r>
    </w:p>
    <w:p w:rsidR="00CD292D" w:rsidRDefault="00CD292D" w:rsidP="00CD292D">
      <w:r>
        <w:rPr>
          <w:sz w:val="16"/>
          <w:szCs w:val="16"/>
        </w:rPr>
        <w:t xml:space="preserve">                </w:t>
      </w: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CD292D" w:rsidRDefault="00CD292D" w:rsidP="00CD292D">
      <w:r>
        <w:t>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CD292D" w:rsidRDefault="00CD292D" w:rsidP="00CD292D">
      <w:pPr>
        <w:ind w:firstLine="709"/>
      </w:pPr>
      <w:r>
        <w:t>Temperatura lepiszcza asfaltowego w zbiorniku magazynowym (roboczym) nie powinna przekraczać w okresie krótkotrwałym, nie dłuższym niż 5 dni,  poniższych wartości:</w:t>
      </w:r>
    </w:p>
    <w:p w:rsidR="00CD292D" w:rsidRDefault="00CD292D" w:rsidP="00CD292D">
      <w:pPr>
        <w:ind w:left="426" w:hanging="360"/>
      </w:pPr>
      <w:r>
        <w:rPr>
          <w:sz w:val="16"/>
          <w:szCs w:val="16"/>
        </w:rPr>
        <w:lastRenderedPageBreak/>
        <w:t>–</w:t>
      </w:r>
      <w:r>
        <w:rPr>
          <w:sz w:val="14"/>
          <w:szCs w:val="14"/>
        </w:rPr>
        <w:t xml:space="preserve">         </w:t>
      </w:r>
      <w:r>
        <w:t>asfaltu drogowego 50/70 i 70/100: 180°C,</w:t>
      </w:r>
    </w:p>
    <w:p w:rsidR="00CD292D" w:rsidRDefault="00CD292D" w:rsidP="00CD292D">
      <w:pPr>
        <w:ind w:left="426" w:hanging="360"/>
      </w:pPr>
      <w:r>
        <w:rPr>
          <w:sz w:val="16"/>
          <w:szCs w:val="16"/>
        </w:rPr>
        <w:t>–</w:t>
      </w:r>
      <w:r>
        <w:rPr>
          <w:sz w:val="14"/>
          <w:szCs w:val="14"/>
        </w:rPr>
        <w:t xml:space="preserve">         </w:t>
      </w:r>
      <w:r>
        <w:t>polimeroasfaltu: wg wskazań producenta,</w:t>
      </w:r>
    </w:p>
    <w:p w:rsidR="00CD292D" w:rsidRDefault="00CD292D" w:rsidP="00CD292D">
      <w:pPr>
        <w:ind w:left="426" w:hanging="360"/>
      </w:pPr>
      <w:r>
        <w:rPr>
          <w:sz w:val="16"/>
          <w:szCs w:val="16"/>
        </w:rPr>
        <w:t>–</w:t>
      </w:r>
      <w:r>
        <w:rPr>
          <w:sz w:val="14"/>
          <w:szCs w:val="14"/>
        </w:rPr>
        <w:t xml:space="preserve">         </w:t>
      </w:r>
      <w:r>
        <w:t>asfaltu drogowego wielorodzajowego: wg wskazań producenta.</w:t>
      </w:r>
    </w:p>
    <w:p w:rsidR="00CD292D" w:rsidRDefault="00CD292D" w:rsidP="00CD292D">
      <w:pPr>
        <w:pStyle w:val="Nagwek2"/>
        <w:rPr>
          <w:rFonts w:eastAsia="Times New Roman"/>
        </w:rPr>
      </w:pPr>
      <w:r>
        <w:rPr>
          <w:rFonts w:eastAsia="Times New Roman"/>
        </w:rPr>
        <w:t xml:space="preserve">2.3. Kruszywo </w:t>
      </w:r>
    </w:p>
    <w:p w:rsidR="00CD292D" w:rsidRDefault="00CD292D" w:rsidP="00CD292D">
      <w:pPr>
        <w:rPr>
          <w:rFonts w:eastAsiaTheme="minorEastAsia"/>
        </w:rPr>
      </w:pPr>
      <w:r>
        <w:t xml:space="preserve">            Do warstwy ścieralnej z betonu asfaltowego należy stosować kruszywo według PN-EN 13043 [49] i WT-1 Kruszywa 2014 [79], obejmujące kruszywo grube, kruszywo drobne  i wypełniacz. </w:t>
      </w:r>
    </w:p>
    <w:p w:rsidR="00CD292D" w:rsidRDefault="00CD292D" w:rsidP="00CD292D">
      <w:pPr>
        <w:ind w:firstLine="709"/>
      </w:pPr>
      <w:r>
        <w:t>W mieszance mineralno-asfaltowej jako kruszywo drobne należy stosować mieszankę kruszywa łamanego i niełamanego dla KR1÷KR2 lub kruszywo łamane w 100% (dla kategorii KR3 do KR6 nie dopuszcza się stosowania kruszywa niełamanego drobnego).</w:t>
      </w:r>
    </w:p>
    <w:p w:rsidR="00CD292D" w:rsidRDefault="00CD292D" w:rsidP="00CD292D">
      <w:pPr>
        <w:ind w:firstLine="709"/>
      </w:pPr>
      <w:r>
        <w:t>Jeżeli stosowana jest mieszanka kruszywa drobnego niełamanego i łamanego, to należy przyjąć proporcje kruszywa łamanego do niełamanego co najmniej 50/50.</w:t>
      </w:r>
    </w:p>
    <w:p w:rsidR="00CD292D" w:rsidRDefault="00CD292D" w:rsidP="00CD292D">
      <w:pPr>
        <w:ind w:firstLine="709"/>
      </w:pPr>
      <w:r>
        <w:t xml:space="preserve">Nie dopuszcza się użycia granulatu asfaltowego w warstwie ścieralnej. </w:t>
      </w:r>
    </w:p>
    <w:p w:rsidR="00CD292D" w:rsidRDefault="00CD292D" w:rsidP="00CD292D">
      <w:pPr>
        <w:ind w:firstLine="709"/>
      </w:pPr>
      <w:r>
        <w:t>Kruszywa powinny spełniać wymagania podane w WT-1 Kruszywa 2014 [79]  wg tablic poniżej.</w:t>
      </w:r>
    </w:p>
    <w:p w:rsidR="00CD292D" w:rsidRDefault="00CD292D" w:rsidP="00CD292D">
      <w:pPr>
        <w:spacing w:before="120" w:after="120"/>
        <w:ind w:left="1200" w:hanging="1200"/>
      </w:pPr>
      <w: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491"/>
        <w:gridCol w:w="1552"/>
      </w:tblGrid>
      <w:tr w:rsidR="00CD292D" w:rsidTr="00CD292D">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KR5÷KR6</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90/15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w:t>
            </w:r>
            <w:r>
              <w:rPr>
                <w:vertAlign w:val="subscript"/>
              </w:rPr>
              <w:t>25/15</w:t>
            </w:r>
          </w:p>
          <w:p w:rsidR="00CD292D" w:rsidRDefault="00CD292D">
            <w:pPr>
              <w:jc w:val="center"/>
            </w:pPr>
            <w:r>
              <w:t>G</w:t>
            </w:r>
            <w:r>
              <w:rPr>
                <w:vertAlign w:val="subscript"/>
              </w:rPr>
              <w:t>20/15</w:t>
            </w:r>
          </w:p>
          <w:p w:rsidR="00CD292D" w:rsidRDefault="00CD292D">
            <w:pPr>
              <w:jc w:val="center"/>
            </w:pPr>
            <w:r>
              <w:t>G</w:t>
            </w:r>
            <w:r>
              <w:rPr>
                <w:vertAlign w:val="subscript"/>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25/15</w:t>
            </w:r>
          </w:p>
          <w:p w:rsidR="00CD292D" w:rsidRDefault="00CD292D">
            <w:pPr>
              <w:jc w:val="center"/>
            </w:pPr>
            <w:r>
              <w:t>G</w:t>
            </w:r>
            <w:r>
              <w:rPr>
                <w:vertAlign w:val="subscript"/>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25/15</w:t>
            </w:r>
          </w:p>
          <w:p w:rsidR="00CD292D" w:rsidRDefault="00CD292D">
            <w:pPr>
              <w:jc w:val="center"/>
            </w:pPr>
            <w:r>
              <w:t>G</w:t>
            </w:r>
            <w:r>
              <w:rPr>
                <w:vertAlign w:val="subscript"/>
              </w:rPr>
              <w:t>20/15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i/>
                <w:iCs/>
              </w:rPr>
              <w:t>f</w:t>
            </w:r>
            <w:r>
              <w:rPr>
                <w:vertAlign w:val="subscript"/>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i/>
                <w:iCs/>
              </w:rPr>
              <w:t>f</w:t>
            </w:r>
            <w:r>
              <w:rPr>
                <w:vertAlign w:val="subscript"/>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w:t>
            </w:r>
            <w:r>
              <w:rPr>
                <w:vertAlign w:val="subscript"/>
              </w:rPr>
              <w:t>2</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FI</w:t>
            </w:r>
            <w:r>
              <w:rPr>
                <w:i/>
                <w:iCs/>
                <w:vertAlign w:val="subscript"/>
              </w:rPr>
              <w:t>25</w:t>
            </w:r>
            <w:r>
              <w:t xml:space="preserve"> lub </w:t>
            </w:r>
            <w:r>
              <w:rPr>
                <w:i/>
                <w:iCs/>
              </w:rPr>
              <w:t>SI</w:t>
            </w:r>
            <w:r>
              <w:rPr>
                <w:i/>
                <w:iCs/>
                <w:vertAlign w:val="subscript"/>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FI</w:t>
            </w:r>
            <w:r>
              <w:rPr>
                <w:i/>
                <w:iCs/>
                <w:vertAlign w:val="subscript"/>
              </w:rPr>
              <w:t>20</w:t>
            </w:r>
            <w:r>
              <w:t xml:space="preserve"> lub </w:t>
            </w:r>
            <w:r>
              <w:rPr>
                <w:i/>
                <w:iCs/>
              </w:rPr>
              <w:t>SI</w:t>
            </w:r>
            <w:r>
              <w:rPr>
                <w:i/>
                <w:iCs/>
                <w:vertAlign w:val="subscript"/>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FI</w:t>
            </w:r>
            <w:r>
              <w:rPr>
                <w:i/>
                <w:iCs/>
                <w:vertAlign w:val="subscript"/>
              </w:rPr>
              <w:t>20</w:t>
            </w:r>
            <w:r>
              <w:t xml:space="preserve"> lub </w:t>
            </w:r>
            <w:r>
              <w:rPr>
                <w:i/>
                <w:iCs/>
              </w:rPr>
              <w:t>SI</w:t>
            </w:r>
            <w:r>
              <w:rPr>
                <w:i/>
                <w:iCs/>
                <w:vertAlign w:val="subscript"/>
              </w:rPr>
              <w:t>20</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Procentowa zawartość ziaren o powierzchni przekruszonej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 xml:space="preserve">C </w:t>
            </w:r>
            <w:r>
              <w:rPr>
                <w:i/>
                <w:iCs/>
                <w:vertAlign w:val="subscript"/>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C</w:t>
            </w:r>
            <w:r>
              <w:rPr>
                <w:i/>
                <w:iCs/>
                <w:vertAlign w:val="subscript"/>
              </w:rPr>
              <w:t>95</w:t>
            </w:r>
            <w:r>
              <w:rPr>
                <w:vertAlign w:val="subscript"/>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C</w:t>
            </w:r>
            <w:r>
              <w:rPr>
                <w:i/>
                <w:iCs/>
                <w:vertAlign w:val="subscript"/>
              </w:rPr>
              <w:t>95</w:t>
            </w:r>
            <w:r>
              <w:rPr>
                <w:vertAlign w:val="subscript"/>
              </w:rPr>
              <w:t>/1</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kruszywa na rozdrabnianie według normy PN-EN 1097-2 [13], badana na kruszywie o 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 </w:t>
            </w:r>
          </w:p>
          <w:p w:rsidR="00CD292D" w:rsidRDefault="00CD292D">
            <w:pPr>
              <w:jc w:val="center"/>
            </w:pPr>
            <w:r>
              <w:rPr>
                <w:i/>
                <w:iCs/>
              </w:rPr>
              <w:t>LA</w:t>
            </w:r>
            <w:r>
              <w:rPr>
                <w:i/>
                <w:iCs/>
                <w:vertAlign w:val="subscript"/>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 </w:t>
            </w:r>
          </w:p>
          <w:p w:rsidR="00CD292D" w:rsidRDefault="00CD292D">
            <w:pPr>
              <w:jc w:val="center"/>
            </w:pPr>
            <w:r>
              <w:rPr>
                <w:i/>
                <w:iCs/>
              </w:rPr>
              <w:t>LA</w:t>
            </w:r>
            <w:r>
              <w:rPr>
                <w:i/>
                <w:iCs/>
                <w:vertAlign w:val="subscript"/>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 </w:t>
            </w:r>
          </w:p>
          <w:p w:rsidR="00CD292D" w:rsidRDefault="00CD292D">
            <w:pPr>
              <w:jc w:val="center"/>
            </w:pPr>
            <w:r>
              <w:rPr>
                <w:i/>
                <w:iCs/>
              </w:rPr>
              <w:t>LA</w:t>
            </w:r>
            <w:r>
              <w:rPr>
                <w:vertAlign w:val="subscript"/>
              </w:rPr>
              <w:t>25</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Odporność na polerowanie kruszyw według PN-EN 1097-8 [18] (dotyczy </w:t>
            </w:r>
            <w:r>
              <w:lastRenderedPageBreak/>
              <w:t>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lastRenderedPageBreak/>
              <w:t> </w:t>
            </w:r>
          </w:p>
          <w:p w:rsidR="00CD292D" w:rsidRDefault="00CD292D">
            <w:pPr>
              <w:spacing w:before="120"/>
              <w:jc w:val="center"/>
            </w:pPr>
            <w:r>
              <w:rPr>
                <w:i/>
                <w:iCs/>
              </w:rPr>
              <w:t>PSV</w:t>
            </w:r>
            <w:r>
              <w:rPr>
                <w:i/>
                <w:iCs/>
                <w:vertAlign w:val="subscript"/>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lastRenderedPageBreak/>
              <w:t>PSV</w:t>
            </w:r>
            <w:r>
              <w:rPr>
                <w:i/>
                <w:iCs/>
                <w:vertAlign w:val="subscript"/>
              </w:rPr>
              <w:t>Deklarowana, nie mniej niż 48</w:t>
            </w:r>
            <w:r>
              <w:rPr>
                <w:i/>
                <w:iCs/>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lastRenderedPageBreak/>
              <w:t>PSV</w:t>
            </w:r>
            <w:r>
              <w:rPr>
                <w:vertAlign w:val="subscript"/>
              </w:rPr>
              <w:t>50</w:t>
            </w:r>
            <w:r>
              <w:t>*)</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deklarowana przez producenta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 </w:t>
            </w:r>
          </w:p>
          <w:p w:rsidR="00CD292D" w:rsidRDefault="00CD292D">
            <w:pPr>
              <w:spacing w:before="120"/>
              <w:jc w:val="center"/>
            </w:pPr>
            <w: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 </w:t>
            </w:r>
          </w:p>
          <w:p w:rsidR="00CD292D" w:rsidRDefault="00CD292D">
            <w:pPr>
              <w:spacing w:before="120"/>
              <w:jc w:val="center"/>
            </w:pPr>
            <w: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7</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„Zgorzel słoneczna” bazaltu według </w:t>
            </w:r>
            <w: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SB</w:t>
            </w:r>
            <w:r>
              <w:rPr>
                <w:vertAlign w:val="subscript"/>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SB</w:t>
            </w:r>
            <w:r>
              <w:rPr>
                <w:vertAlign w:val="subscript"/>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SB</w:t>
            </w:r>
            <w:r>
              <w:rPr>
                <w:vertAlign w:val="subscript"/>
              </w:rPr>
              <w:t>LA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deklarowany przez producenta</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m</w:t>
            </w:r>
            <w:r>
              <w:rPr>
                <w:vertAlign w:val="subscript"/>
              </w:rPr>
              <w:t>LPC</w:t>
            </w:r>
            <w: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m</w:t>
            </w:r>
            <w:r>
              <w:rPr>
                <w:vertAlign w:val="subscript"/>
              </w:rPr>
              <w:t>LPC</w:t>
            </w:r>
            <w: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 xml:space="preserve"> 0,1</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wymagana odporność</w:t>
            </w:r>
          </w:p>
        </w:tc>
      </w:tr>
      <w:tr w:rsidR="00CD292D" w:rsidTr="00CD292D">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w:t>
            </w:r>
          </w:p>
          <w:p w:rsidR="00CD292D" w:rsidRDefault="00CD292D">
            <w: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w:t>
            </w:r>
          </w:p>
          <w:p w:rsidR="00CD292D" w:rsidRDefault="00CD292D">
            <w: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V3,5</w:t>
            </w:r>
          </w:p>
        </w:tc>
      </w:tr>
    </w:tbl>
    <w:p w:rsidR="00CD292D" w:rsidRDefault="00CD292D" w:rsidP="00CD292D">
      <w:pPr>
        <w:ind w:left="284" w:hanging="284"/>
        <w:rPr>
          <w:rFonts w:eastAsiaTheme="minorEastAsia"/>
        </w:rPr>
      </w:pPr>
      <w: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rsidR="00CD292D" w:rsidRDefault="00CD292D" w:rsidP="00CD292D">
      <w:r>
        <w:t> </w:t>
      </w:r>
    </w:p>
    <w:p w:rsidR="00CD292D" w:rsidRDefault="00CD292D" w:rsidP="00CD292D">
      <w:pPr>
        <w:ind w:firstLine="709"/>
      </w:pPr>
      <w:r>
        <w:t>Kruszywo niełamane drobne lub o ciągłym uziarnieniu do D ≤ 8  do warstwy ścieralnej  z betonu asfaltowego  powinno spełniać wymagania podane w tablicy  7 .</w:t>
      </w:r>
    </w:p>
    <w:p w:rsidR="00CD292D" w:rsidRDefault="00CD292D" w:rsidP="00CD292D">
      <w:pPr>
        <w:spacing w:before="120" w:after="120"/>
      </w:pPr>
      <w:r>
        <w:lastRenderedPageBreak/>
        <w:t>Tablica 7. Wymagane właściwości kruszywa niełamanego drobnego lub o ciągłym uziarnieniu do 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CD292D" w:rsidTr="00CD292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r>
              <w:t> </w:t>
            </w:r>
          </w:p>
          <w:p w:rsidR="00CD292D" w:rsidRDefault="00CD292D">
            <w: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Wymagania w zależności 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KR1÷KR2</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F</w:t>
            </w:r>
            <w:r>
              <w:t>85 lub G</w:t>
            </w:r>
            <w:r>
              <w:rPr>
                <w:vertAlign w:val="subscript"/>
              </w:rPr>
              <w:t>A</w:t>
            </w:r>
            <w:r>
              <w:t>85</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TC</w:t>
            </w:r>
            <w:r>
              <w:t>NR</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rFonts w:ascii="Symbol" w:hAnsi="Symbol"/>
              </w:rPr>
              <w:t></w:t>
            </w:r>
            <w:r>
              <w:rPr>
                <w:vertAlign w:val="subscript"/>
              </w:rPr>
              <w:t>3</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MB</w:t>
            </w:r>
            <w:r>
              <w:rPr>
                <w:vertAlign w:val="subscript"/>
              </w:rPr>
              <w:t>F</w:t>
            </w:r>
            <w:r>
              <w:t>10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rPr>
                <w:i/>
                <w:iCs/>
              </w:rPr>
              <w:t> </w:t>
            </w:r>
          </w:p>
          <w:p w:rsidR="00CD292D" w:rsidRDefault="00CD292D">
            <w:pPr>
              <w:jc w:val="center"/>
            </w:pPr>
            <w:r>
              <w:rPr>
                <w:i/>
                <w:iCs/>
              </w:rPr>
              <w:t>E</w:t>
            </w:r>
            <w:r>
              <w:rPr>
                <w:vertAlign w:val="subscript"/>
              </w:rPr>
              <w:t xml:space="preserve">cs </w:t>
            </w:r>
            <w:r>
              <w:t>Deklarowana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0,1</w:t>
            </w:r>
          </w:p>
        </w:tc>
      </w:tr>
    </w:tbl>
    <w:p w:rsidR="00CD292D" w:rsidRDefault="00CD292D" w:rsidP="00CD292D">
      <w:pPr>
        <w:spacing w:before="240"/>
        <w:ind w:firstLine="709"/>
        <w:rPr>
          <w:rFonts w:eastAsiaTheme="minorEastAsia"/>
        </w:rPr>
      </w:pPr>
      <w:r>
        <w:t>Kruszywo łamane drobne lub o ciągłym uziarnieniu do D≤8  do warstwy ścieralnej  z betonu asfaltowego  powinno spełniać wymagania podane w tablicy  8 .</w:t>
      </w:r>
    </w:p>
    <w:p w:rsidR="00CD292D" w:rsidRDefault="00CD292D" w:rsidP="00CD292D">
      <w:pPr>
        <w:spacing w:before="120" w:after="120"/>
      </w:pPr>
      <w: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61"/>
        <w:gridCol w:w="15"/>
        <w:gridCol w:w="1065"/>
        <w:gridCol w:w="6"/>
        <w:gridCol w:w="1070"/>
      </w:tblGrid>
      <w:tr w:rsidR="00CD292D" w:rsidTr="00CD292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Wymagania w zależności 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KR1</w:t>
            </w:r>
          </w:p>
          <w:p w:rsidR="00CD292D" w:rsidRDefault="00CD292D">
            <w:pPr>
              <w:jc w:val="center"/>
            </w:pPr>
            <w:r>
              <w:t> </w:t>
            </w:r>
            <w:r>
              <w:rPr>
                <w:rFonts w:ascii="Symbol" w:hAnsi="Symbol"/>
              </w:rPr>
              <w:t></w:t>
            </w:r>
            <w: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KR3 </w:t>
            </w:r>
          </w:p>
          <w:p w:rsidR="00CD292D" w:rsidRDefault="00CD292D">
            <w:pPr>
              <w:jc w:val="center"/>
            </w:pPr>
            <w:r>
              <w:rPr>
                <w:rFonts w:ascii="Symbol" w:hAnsi="Symbol"/>
              </w:rPr>
              <w:t></w:t>
            </w:r>
            <w: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KR5 </w:t>
            </w:r>
          </w:p>
          <w:p w:rsidR="00CD292D" w:rsidRDefault="00CD292D">
            <w:pPr>
              <w:jc w:val="center"/>
            </w:pPr>
            <w:r>
              <w:rPr>
                <w:rFonts w:ascii="Symbol" w:hAnsi="Symbol"/>
              </w:rPr>
              <w:t></w:t>
            </w:r>
            <w:r>
              <w:t xml:space="preserve"> KR6</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F</w:t>
            </w:r>
            <w:r>
              <w:t>85 lub G</w:t>
            </w:r>
            <w:r>
              <w:rPr>
                <w:vertAlign w:val="subscript"/>
              </w:rPr>
              <w:t>A</w:t>
            </w:r>
            <w:r>
              <w:t>85</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G</w:t>
            </w:r>
            <w:r>
              <w:rPr>
                <w:vertAlign w:val="subscript"/>
              </w:rPr>
              <w:t>TC</w:t>
            </w:r>
            <w: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TC</w:t>
            </w:r>
            <w: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jc w:val="center"/>
            </w:pPr>
            <w:r>
              <w:t>G</w:t>
            </w:r>
            <w:r>
              <w:rPr>
                <w:vertAlign w:val="subscript"/>
              </w:rPr>
              <w:t>TC</w:t>
            </w:r>
            <w:r>
              <w:t>20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Symbol" w:hAnsi="Symbol"/>
              </w:rPr>
              <w:t></w:t>
            </w:r>
            <w:r>
              <w:rPr>
                <w:vertAlign w:val="subscript"/>
              </w:rPr>
              <w:t>16</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MB</w:t>
            </w:r>
            <w:r>
              <w:rPr>
                <w:vertAlign w:val="subscript"/>
              </w:rPr>
              <w:t>F</w:t>
            </w:r>
            <w:r>
              <w:t>10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E</w:t>
            </w:r>
            <w:r>
              <w:rPr>
                <w:vertAlign w:val="subscript"/>
              </w:rPr>
              <w:t>cs</w:t>
            </w:r>
            <w:r>
              <w:t>Deklarowana</w:t>
            </w:r>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rPr>
                <w:i/>
                <w:iCs/>
              </w:rPr>
              <w:t> </w:t>
            </w:r>
          </w:p>
          <w:p w:rsidR="00CD292D" w:rsidRDefault="00CD292D">
            <w:r>
              <w:rPr>
                <w:i/>
                <w:iCs/>
              </w:rPr>
              <w:t>E</w:t>
            </w:r>
            <w:r>
              <w:rPr>
                <w:vertAlign w:val="subscript"/>
              </w:rPr>
              <w:t>cs</w:t>
            </w:r>
            <w: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rPr>
                <w:i/>
                <w:iCs/>
              </w:rPr>
              <w:t> </w:t>
            </w:r>
          </w:p>
          <w:p w:rsidR="00CD292D" w:rsidRDefault="00CD292D">
            <w:r>
              <w:rPr>
                <w:i/>
                <w:iCs/>
              </w:rPr>
              <w:t>E</w:t>
            </w:r>
            <w:r>
              <w:rPr>
                <w:vertAlign w:val="subscript"/>
              </w:rPr>
              <w:t>cs</w:t>
            </w:r>
            <w:r>
              <w:t>30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jc w:val="center"/>
            </w:pPr>
            <w: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rsidR="00CD292D" w:rsidRDefault="00CD292D">
            <w: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0,1</w:t>
            </w:r>
          </w:p>
        </w:tc>
      </w:tr>
    </w:tbl>
    <w:p w:rsidR="00CD292D" w:rsidRDefault="00CD292D" w:rsidP="00CD292D">
      <w:pPr>
        <w:rPr>
          <w:rFonts w:eastAsiaTheme="minorEastAsia"/>
        </w:rPr>
      </w:pPr>
      <w:r>
        <w:t> </w:t>
      </w:r>
    </w:p>
    <w:p w:rsidR="00CD292D" w:rsidRDefault="00CD292D" w:rsidP="00CD292D">
      <w:pPr>
        <w:ind w:right="-57" w:firstLine="709"/>
      </w:pPr>
      <w:r>
        <w:t>Do warstwy ścieralnej z betonu asfaltowego, w zależności od kategorii ruchu,  należy stosować wypełniacz spełniający wymagania podane w tablicy 9.</w:t>
      </w:r>
    </w:p>
    <w:p w:rsidR="00CD292D" w:rsidRDefault="00CD292D" w:rsidP="00CD292D">
      <w:pPr>
        <w:spacing w:before="120" w:after="120"/>
        <w:ind w:left="1134" w:hanging="1134"/>
      </w:pPr>
      <w: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CD292D" w:rsidTr="00CD292D">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Wymagania w zależności 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KR1 </w:t>
            </w:r>
            <w:r>
              <w:rPr>
                <w:rFonts w:ascii="Symbol" w:hAnsi="Symbol"/>
              </w:rPr>
              <w:t></w:t>
            </w:r>
            <w:r>
              <w:t xml:space="preserve">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KR3 </w:t>
            </w:r>
            <w:r>
              <w:rPr>
                <w:rFonts w:ascii="Symbol" w:hAnsi="Symbol"/>
              </w:rPr>
              <w:t></w:t>
            </w:r>
            <w:r>
              <w:t xml:space="preserve">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KR5 </w:t>
            </w:r>
            <w:r>
              <w:rPr>
                <w:rFonts w:ascii="Symbol" w:hAnsi="Symbol"/>
              </w:rPr>
              <w:t></w:t>
            </w:r>
            <w:r>
              <w:t xml:space="preserve"> KR6</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zgodnie z tablicą 24 w PN-EN 13043 [49]</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MB</w:t>
            </w:r>
            <w:r>
              <w:rPr>
                <w:vertAlign w:val="subscript"/>
              </w:rPr>
              <w:t>F</w:t>
            </w:r>
            <w:r>
              <w:t>10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1 % (m/m)</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V</w:t>
            </w:r>
            <w:r>
              <w:rPr>
                <w:vertAlign w:val="subscript"/>
              </w:rPr>
              <w:t>28/45</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Symbol" w:hAnsi="Symbol"/>
              </w:rPr>
              <w:t></w:t>
            </w:r>
            <w:r>
              <w:rPr>
                <w:vertAlign w:val="subscript"/>
              </w:rPr>
              <w:t>R&amp;B</w:t>
            </w:r>
            <w:r>
              <w:t>8/25</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WS</w:t>
            </w:r>
            <w:r>
              <w:rPr>
                <w:vertAlign w:val="subscript"/>
              </w:rPr>
              <w:t>10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CaCO</w:t>
            </w:r>
            <w:r>
              <w:rPr>
                <w:vertAlign w:val="subscript"/>
              </w:rPr>
              <w:t>3</w:t>
            </w:r>
            <w: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CC</w:t>
            </w:r>
            <w:r>
              <w:rPr>
                <w:vertAlign w:val="subscript"/>
              </w:rPr>
              <w:t>70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w:t>
            </w:r>
            <w:r>
              <w:rPr>
                <w:vertAlign w:val="subscript"/>
              </w:rPr>
              <w:t>a</w:t>
            </w:r>
            <w:r>
              <w:t>20</w:t>
            </w:r>
          </w:p>
        </w:tc>
      </w:tr>
      <w:tr w:rsidR="00CD292D" w:rsidTr="00CD292D">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BN</w:t>
            </w:r>
            <w:r>
              <w:rPr>
                <w:vertAlign w:val="subscript"/>
              </w:rPr>
              <w:t>Deklarowana</w:t>
            </w:r>
          </w:p>
        </w:tc>
      </w:tr>
    </w:tbl>
    <w:p w:rsidR="00CD292D" w:rsidRDefault="00CD292D" w:rsidP="00CD292D">
      <w:pPr>
        <w:rPr>
          <w:rFonts w:eastAsiaTheme="minorEastAsia"/>
        </w:rPr>
      </w:pPr>
      <w:r>
        <w:t xml:space="preserve">            </w:t>
      </w:r>
    </w:p>
    <w:p w:rsidR="00CD292D" w:rsidRDefault="00CD292D" w:rsidP="00CD292D">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CD292D" w:rsidRDefault="00CD292D" w:rsidP="00CD292D">
      <w:pPr>
        <w:pStyle w:val="Nagwek2"/>
        <w:rPr>
          <w:rFonts w:eastAsia="Times New Roman"/>
        </w:rPr>
      </w:pPr>
      <w:r>
        <w:rPr>
          <w:rFonts w:eastAsia="Times New Roman"/>
        </w:rPr>
        <w:t>2.4. Kruszywo do uszorstnienia</w:t>
      </w:r>
    </w:p>
    <w:p w:rsidR="00CD292D" w:rsidRDefault="00CD292D" w:rsidP="00CD292D">
      <w:pPr>
        <w:rPr>
          <w:rFonts w:eastAsiaTheme="minorEastAsia"/>
        </w:rPr>
      </w:pPr>
      <w:r>
        <w:t>Nie wymaga się uszorstnienia warstwy ścieralnej z betonu asfaltowego.</w:t>
      </w:r>
    </w:p>
    <w:p w:rsidR="00CD292D" w:rsidRDefault="00CD292D" w:rsidP="00CD292D">
      <w:r>
        <w:t xml:space="preserve">            </w:t>
      </w:r>
    </w:p>
    <w:p w:rsidR="00CD292D" w:rsidRDefault="00CD292D" w:rsidP="00CD292D">
      <w:r>
        <w:rPr>
          <w:b/>
          <w:bCs/>
        </w:rPr>
        <w:t>2.5. Środek adhezyjny</w:t>
      </w:r>
    </w:p>
    <w:p w:rsidR="00CD292D" w:rsidRDefault="00CD292D" w:rsidP="00CD292D">
      <w: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C  wynosiła co najmniej 80%.</w:t>
      </w:r>
    </w:p>
    <w:p w:rsidR="00CD292D" w:rsidRDefault="00CD292D" w:rsidP="00CD292D">
      <w:r>
        <w:t>            Środek adhezyjny powinien odpowiadać wymaganiom określonym przez producenta.</w:t>
      </w:r>
    </w:p>
    <w:p w:rsidR="00CD292D" w:rsidRDefault="00CD292D" w:rsidP="00CD292D">
      <w:r>
        <w:t>            Składowanie środka adhezyjnego jest dozwolone tylko w oryginalnych opakowaniach, w warunkach określonych przez producenta.</w:t>
      </w:r>
    </w:p>
    <w:p w:rsidR="00CD292D" w:rsidRDefault="00CD292D" w:rsidP="00CD292D">
      <w:pPr>
        <w:pStyle w:val="Nagwek2"/>
        <w:rPr>
          <w:rFonts w:eastAsia="Times New Roman"/>
        </w:rPr>
      </w:pPr>
      <w:r>
        <w:rPr>
          <w:rFonts w:eastAsia="Times New Roman"/>
        </w:rPr>
        <w:t>2.6. Materiały do uszczelnienia połączeń i krawędzi</w:t>
      </w:r>
    </w:p>
    <w:p w:rsidR="00CD292D" w:rsidRDefault="00CD292D" w:rsidP="00CD292D">
      <w:pPr>
        <w:rPr>
          <w:rFonts w:eastAsiaTheme="minorEastAsia"/>
        </w:rPr>
      </w:pPr>
      <w: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rsidR="00CD292D" w:rsidRDefault="00CD292D" w:rsidP="00CD292D">
      <w:pPr>
        <w:spacing w:before="120" w:after="120"/>
        <w:ind w:left="1134" w:hanging="1134"/>
      </w:pPr>
      <w: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D292D" w:rsidTr="00CD292D">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Złącze poprzeczne</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materiału</w:t>
            </w:r>
          </w:p>
        </w:tc>
      </w:tr>
      <w:tr w:rsidR="00CD292D" w:rsidTr="00CD292D">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Pasty asfaltowe lub elastyczne taśmy bitumiczne</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Elastyczne taśmy bitumiczne</w:t>
            </w:r>
          </w:p>
        </w:tc>
      </w:tr>
    </w:tbl>
    <w:p w:rsidR="00CD292D" w:rsidRDefault="00CD292D" w:rsidP="00CD292D">
      <w:pPr>
        <w:spacing w:before="240" w:after="120"/>
        <w:ind w:left="1134" w:hanging="1134"/>
        <w:rPr>
          <w:rFonts w:eastAsiaTheme="minorEastAsia"/>
        </w:rPr>
      </w:pPr>
      <w: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materiału</w:t>
            </w:r>
          </w:p>
        </w:tc>
      </w:tr>
      <w:tr w:rsidR="00CD292D" w:rsidTr="00CD292D">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Pasta asfaltowa</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Elastyczna taśma bitumiczna lub zalewa drogowa na gorąco</w:t>
            </w:r>
          </w:p>
        </w:tc>
      </w:tr>
    </w:tbl>
    <w:p w:rsidR="00CD292D" w:rsidRDefault="00CD292D" w:rsidP="00CD292D">
      <w:pPr>
        <w:spacing w:before="240" w:after="120"/>
        <w:rPr>
          <w:rFonts w:eastAsiaTheme="minorEastAsia"/>
        </w:rPr>
      </w:pPr>
      <w: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CD292D" w:rsidTr="00CD292D">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Wymaganie</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≥90°C</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 do 50</w:t>
            </w:r>
          </w:p>
          <w:p w:rsidR="00CD292D" w:rsidRDefault="00CD292D">
            <w:pPr>
              <w:jc w:val="center"/>
            </w:pPr>
            <w:r>
              <w:t>1/10 mm</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 do 30%</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test odcinka taśmy o długości 20 cm w temperaturze 0°C </w:t>
            </w:r>
          </w:p>
          <w:p w:rsidR="00CD292D" w:rsidRDefault="00CD292D">
            <w:r>
              <w:t xml:space="preserve">badanie po 24 godzinnym </w:t>
            </w:r>
          </w:p>
          <w:p w:rsidR="00CD292D" w:rsidRDefault="00CD292D">
            <w: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Bez pęknięcia</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SNV 671 920</w:t>
            </w:r>
          </w:p>
          <w:p w:rsidR="00CD292D" w:rsidRDefault="00CD292D">
            <w: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 temperaturze </w:t>
            </w:r>
          </w:p>
          <w:p w:rsidR="00CD292D" w:rsidRDefault="00CD292D">
            <w: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p w:rsidR="00CD292D" w:rsidRDefault="00CD292D">
            <w:pPr>
              <w:jc w:val="center"/>
            </w:pPr>
            <w:r>
              <w:t>≤1 N/mm</w:t>
            </w:r>
            <w:r>
              <w:rPr>
                <w:vertAlign w:val="superscript"/>
              </w:rPr>
              <w:t>2</w:t>
            </w:r>
          </w:p>
        </w:tc>
      </w:tr>
      <w:tr w:rsidR="00CD292D" w:rsidTr="00CD292D">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SNV 671 920</w:t>
            </w:r>
          </w:p>
          <w:p w:rsidR="00CD292D" w:rsidRDefault="00CD292D">
            <w: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 temperaturze </w:t>
            </w:r>
          </w:p>
          <w:p w:rsidR="00CD292D" w:rsidRDefault="00CD292D">
            <w: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Należy podać wynik</w:t>
            </w:r>
          </w:p>
        </w:tc>
      </w:tr>
    </w:tbl>
    <w:p w:rsidR="00CD292D" w:rsidRDefault="00CD292D" w:rsidP="00CD292D">
      <w:pPr>
        <w:spacing w:before="240" w:after="120"/>
        <w:rPr>
          <w:rFonts w:eastAsiaTheme="minorEastAsia"/>
        </w:rPr>
      </w:pPr>
      <w: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Wymaganie</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Pasta</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Nie spływa</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 m/m</w:t>
            </w:r>
          </w:p>
        </w:tc>
      </w:tr>
      <w:tr w:rsidR="00CD292D" w:rsidTr="00CD292D">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odzyskanego i ustabilizowanego lepiszcza: PN-EN 13074-1 lub PN-EN 13074-2</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≥70°C</w:t>
            </w:r>
          </w:p>
        </w:tc>
      </w:tr>
    </w:tbl>
    <w:p w:rsidR="00CD292D" w:rsidRDefault="00CD292D" w:rsidP="00CD292D">
      <w:pPr>
        <w:spacing w:before="240" w:after="120"/>
        <w:ind w:left="1134" w:hanging="1134"/>
        <w:rPr>
          <w:rFonts w:eastAsiaTheme="minorEastAsia"/>
        </w:rPr>
      </w:pPr>
      <w: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Wymaganie</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Homogeniczny</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≥80°C</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 do 60  0,1 mm</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 mm</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10-50%</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 mm</w:t>
            </w:r>
          </w:p>
          <w:p w:rsidR="00CD292D" w:rsidRDefault="00CD292D">
            <w:pPr>
              <w:jc w:val="center"/>
            </w:pPr>
            <w:r>
              <w:t>≤0,75 N/mm</w:t>
            </w:r>
            <w:r>
              <w:rPr>
                <w:vertAlign w:val="superscript"/>
              </w:rPr>
              <w:t>2</w:t>
            </w:r>
          </w:p>
        </w:tc>
      </w:tr>
    </w:tbl>
    <w:p w:rsidR="00CD292D" w:rsidRDefault="00CD292D" w:rsidP="00CD292D">
      <w:pPr>
        <w:spacing w:before="240" w:after="120"/>
        <w:rPr>
          <w:rFonts w:eastAsiaTheme="minorEastAsia"/>
        </w:rPr>
      </w:pPr>
      <w: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CD292D" w:rsidTr="00CD292D">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Wymagania dla typu</w:t>
            </w:r>
          </w:p>
        </w:tc>
      </w:tr>
      <w:tr w:rsidR="00CD292D" w:rsidTr="00CD292D">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 1</w:t>
            </w:r>
          </w:p>
        </w:tc>
      </w:tr>
    </w:tbl>
    <w:p w:rsidR="00CD292D" w:rsidRDefault="00CD292D" w:rsidP="00CD292D">
      <w:pPr>
        <w:spacing w:before="120"/>
        <w:ind w:firstLine="709"/>
        <w:rPr>
          <w:rFonts w:eastAsiaTheme="minorEastAsia"/>
        </w:rPr>
      </w:pPr>
      <w:r>
        <w:t>Składowanie materiałów termoplastycznych jest dozwolone tylko w oryginalnych opakowaniach producenta, w warunkach określonych w aprobacie technicznej.</w:t>
      </w:r>
    </w:p>
    <w:p w:rsidR="00CD292D" w:rsidRDefault="00CD292D" w:rsidP="00CD292D">
      <w:pPr>
        <w:ind w:firstLine="709"/>
      </w:pPr>
      <w:r>
        <w:t>Do uszczelnienia krawędzi należy stosować asfalt drogowy wg PN-EN 12591 [24], asfalt modyfikowany polimerami wg PN-EN 14023 [64] „metoda na gorąco”. Dopuszcza się inne rodzaje lepiszcza wg norm lub aprobat technicznych.</w:t>
      </w:r>
    </w:p>
    <w:p w:rsidR="00CD292D" w:rsidRDefault="00CD292D" w:rsidP="00CD292D">
      <w:pPr>
        <w:pStyle w:val="Nagwek2"/>
        <w:rPr>
          <w:rFonts w:eastAsia="Times New Roman"/>
        </w:rPr>
      </w:pPr>
      <w:r>
        <w:rPr>
          <w:rFonts w:eastAsia="Times New Roman"/>
        </w:rPr>
        <w:t>2.7. Materiały do złączenia warstw konstrukcji</w:t>
      </w:r>
    </w:p>
    <w:p w:rsidR="00CD292D" w:rsidRDefault="00CD292D" w:rsidP="00CD292D">
      <w:pPr>
        <w:rPr>
          <w:rFonts w:eastAsiaTheme="minorEastAsia"/>
        </w:rPr>
      </w:pPr>
      <w:r>
        <w:t>            Do złączania warstw konstrukcji nawierzchni (warstwa wiążąca z warstwą ścieralną) należy stosować  kationowe emulsje asfaltowe niemodyfikowane lub kationowe emulsje modyfikowane polimerami według aktualnego Załącznika krajowego [62a] NA do PN-EN 13808 [62].</w:t>
      </w:r>
    </w:p>
    <w:p w:rsidR="00CD292D" w:rsidRDefault="00CD292D" w:rsidP="00CD292D">
      <w:pPr>
        <w:ind w:firstLine="709"/>
      </w:pPr>
      <w:r>
        <w:t xml:space="preserve">Spośród rodzajów emulsji wymienionych w Załączniku krajowym NA [62a] do normy PN-EN 13808 [62], należy stosować emulsje oznaczone kodem ZM. </w:t>
      </w:r>
    </w:p>
    <w:p w:rsidR="00CD292D" w:rsidRDefault="00CD292D" w:rsidP="00CD292D">
      <w:pPr>
        <w:ind w:firstLine="709"/>
      </w:pPr>
      <w:r>
        <w:t xml:space="preserve">Właściwości i przeznaczenie emulsji asfaltowych oraz sposób ich składowania opisano w OST D-04.03.01a [2]. </w:t>
      </w:r>
    </w:p>
    <w:p w:rsidR="00CD292D" w:rsidRDefault="00CD292D" w:rsidP="00CD292D">
      <w:pPr>
        <w:pStyle w:val="Nagwek2"/>
        <w:rPr>
          <w:rFonts w:eastAsia="Times New Roman"/>
        </w:rPr>
      </w:pPr>
      <w:r>
        <w:rPr>
          <w:rFonts w:eastAsia="Times New Roman"/>
        </w:rPr>
        <w:lastRenderedPageBreak/>
        <w:t>2.8. Dodatki do mieszanki mineralno-asfaltowej</w:t>
      </w:r>
    </w:p>
    <w:p w:rsidR="00CD292D" w:rsidRDefault="00CD292D" w:rsidP="00CD292D">
      <w:pPr>
        <w:ind w:right="-57" w:firstLine="709"/>
        <w:rPr>
          <w:rFonts w:eastAsiaTheme="minorEastAsia"/>
        </w:rPr>
      </w:pPr>
      <w:r>
        <w:t xml:space="preserve">Mogą być stosowane dodatki stabilizujące lub modyfikujące. Pochodzenie, rodzaj i właściwości dodatków powinny być deklarowane. </w:t>
      </w:r>
    </w:p>
    <w:p w:rsidR="00CD292D" w:rsidRDefault="00CD292D" w:rsidP="00CD292D">
      <w:pPr>
        <w:ind w:right="-57" w:firstLine="709"/>
      </w:pPr>
      <w:r>
        <w:t>Należy używać tylko materiałów składowych o ustalonej przydatności. Ustalenie przydatności powinno wynikać co najmniej jednego z następujących dokumentów:</w:t>
      </w:r>
    </w:p>
    <w:p w:rsidR="00CD292D" w:rsidRDefault="00CD292D" w:rsidP="00CD292D">
      <w:pPr>
        <w:ind w:left="426" w:right="-57" w:hanging="360"/>
      </w:pPr>
      <w:r>
        <w:rPr>
          <w:sz w:val="16"/>
          <w:szCs w:val="16"/>
        </w:rPr>
        <w:t>–</w:t>
      </w:r>
      <w:r>
        <w:rPr>
          <w:sz w:val="14"/>
          <w:szCs w:val="14"/>
        </w:rPr>
        <w:t xml:space="preserve">         </w:t>
      </w:r>
      <w:r>
        <w:t>Normy Europejskiej,</w:t>
      </w:r>
    </w:p>
    <w:p w:rsidR="00CD292D" w:rsidRDefault="00CD292D" w:rsidP="00CD292D">
      <w:pPr>
        <w:ind w:left="426" w:right="-57" w:hanging="360"/>
      </w:pPr>
      <w:r>
        <w:rPr>
          <w:sz w:val="16"/>
          <w:szCs w:val="16"/>
        </w:rPr>
        <w:t>–</w:t>
      </w:r>
      <w:r>
        <w:rPr>
          <w:sz w:val="14"/>
          <w:szCs w:val="14"/>
        </w:rPr>
        <w:t xml:space="preserve">         </w:t>
      </w:r>
      <w:r>
        <w:t>europejskiej aprobaty technicznej,</w:t>
      </w:r>
    </w:p>
    <w:p w:rsidR="00CD292D" w:rsidRDefault="00CD292D" w:rsidP="00CD292D">
      <w:pPr>
        <w:ind w:left="426" w:right="-57" w:hanging="360"/>
      </w:pPr>
      <w:r>
        <w:rPr>
          <w:sz w:val="16"/>
          <w:szCs w:val="16"/>
        </w:rPr>
        <w:t>–</w:t>
      </w:r>
      <w:r>
        <w:rPr>
          <w:sz w:val="14"/>
          <w:szCs w:val="14"/>
        </w:rPr>
        <w:t xml:space="preserve">         </w:t>
      </w:r>
      <w:r>
        <w:t>specyfikacji materiałowych opartych na potwierdzonych pozytywnych zastosowaniach w nawierzchniach asfaltowych. Wykaz należy dostarczyć w celu udowodnienia przydatności. Wykaz może być oparty na badaniach w połączeniu z dowodami w praktyce.</w:t>
      </w:r>
    </w:p>
    <w:p w:rsidR="00CD292D" w:rsidRDefault="00CD292D" w:rsidP="00CD292D">
      <w:pPr>
        <w:ind w:right="-57" w:firstLine="709"/>
      </w:pPr>
      <w:r>
        <w:t xml:space="preserve">Zaleca się stosowanie do mieszanki mineralno-asfaltowej środka obniżającego temperaturę produkcji i układania. </w:t>
      </w:r>
    </w:p>
    <w:p w:rsidR="00CD292D" w:rsidRDefault="00CD292D" w:rsidP="00CD292D">
      <w:pPr>
        <w:ind w:right="-57" w:firstLine="709"/>
      </w:pPr>
      <w:r>
        <w:t xml:space="preserve">Do mieszanki mineralno-asfaltowej  może być stosowany dodatek asfaltu naturalnego wg PN-EN 13108-4 [51], załącznik B. </w:t>
      </w:r>
    </w:p>
    <w:p w:rsidR="00CD292D" w:rsidRDefault="00CD292D" w:rsidP="00CD292D">
      <w:pPr>
        <w:pStyle w:val="Nagwek2"/>
        <w:rPr>
          <w:rFonts w:eastAsia="Times New Roman"/>
        </w:rPr>
      </w:pPr>
      <w:r>
        <w:rPr>
          <w:rFonts w:eastAsia="Times New Roman"/>
        </w:rPr>
        <w:t>2.9. Skład mieszanki mineralno-asfaltowej</w:t>
      </w:r>
    </w:p>
    <w:p w:rsidR="00CD292D" w:rsidRDefault="00CD292D" w:rsidP="00CD292D">
      <w:pPr>
        <w:ind w:firstLine="709"/>
        <w:rPr>
          <w:rFonts w:eastAsiaTheme="minorEastAsia"/>
        </w:rPr>
      </w:pPr>
      <w:r>
        <w:t>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B</w:t>
      </w:r>
      <w:r>
        <w:rPr>
          <w:vertAlign w:val="subscript"/>
        </w:rPr>
        <w:t>min</w:t>
      </w:r>
      <w:r>
        <w:t xml:space="preserve"> i temperatur zagęszczania próbek.</w:t>
      </w:r>
    </w:p>
    <w:p w:rsidR="00CD292D" w:rsidRDefault="00CD292D" w:rsidP="00CD292D">
      <w:pPr>
        <w:ind w:firstLine="709"/>
      </w:pPr>
      <w:r>
        <w:t>Uziarnienie mieszanki mineralnej oraz minimalna zawartość lepiszcza podane są w tablicach 16 i 17.</w:t>
      </w:r>
    </w:p>
    <w:p w:rsidR="00CD292D" w:rsidRDefault="00CD292D" w:rsidP="00CD292D">
      <w:pPr>
        <w:spacing w:before="120" w:after="120"/>
        <w:ind w:left="1276" w:hanging="1276"/>
      </w:pPr>
      <w: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CD292D" w:rsidTr="00CD292D">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Przesiew,   [% (m/m)]</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AC11S</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55</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12,0</w:t>
            </w:r>
          </w:p>
        </w:tc>
      </w:tr>
      <w:tr w:rsidR="00CD292D" w:rsidTr="00CD292D">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lepiszcza, minimum</w:t>
            </w:r>
            <w:r>
              <w:rPr>
                <w:vertAlign w:val="superscript"/>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B</w:t>
            </w:r>
            <w:r>
              <w:rPr>
                <w:vertAlign w:val="subscript"/>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B</w:t>
            </w:r>
            <w:r>
              <w:rPr>
                <w:vertAlign w:val="subscript"/>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B</w:t>
            </w:r>
            <w:r>
              <w:rPr>
                <w:vertAlign w:val="subscript"/>
              </w:rPr>
              <w:t xml:space="preserve">min5,8 </w:t>
            </w:r>
          </w:p>
        </w:tc>
      </w:tr>
    </w:tbl>
    <w:p w:rsidR="00CD292D" w:rsidRDefault="00CD292D" w:rsidP="00CD292D">
      <w:pPr>
        <w:spacing w:before="240" w:after="120"/>
        <w:ind w:left="1134" w:hanging="1134"/>
        <w:rPr>
          <w:rFonts w:eastAsiaTheme="minorEastAsia"/>
        </w:rPr>
      </w:pPr>
      <w:r>
        <w:lastRenderedPageBreak/>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CD292D" w:rsidTr="00CD292D">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Przesiew,   [% (m/m)]</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AC11S</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75</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11,0</w:t>
            </w:r>
          </w:p>
        </w:tc>
      </w:tr>
      <w:tr w:rsidR="00CD292D" w:rsidTr="00CD292D">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Zawartość lepiszcza, minimum</w:t>
            </w:r>
            <w:r>
              <w:rPr>
                <w:vertAlign w:val="superscript"/>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B</w:t>
            </w:r>
            <w:r>
              <w:rPr>
                <w:vertAlign w:val="subscript"/>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B</w:t>
            </w:r>
            <w:r>
              <w:rPr>
                <w:vertAlign w:val="subscript"/>
              </w:rPr>
              <w:t xml:space="preserve">min5,8 </w:t>
            </w:r>
          </w:p>
        </w:tc>
      </w:tr>
      <w:tr w:rsidR="00CD292D" w:rsidTr="00CD292D">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284" w:hanging="284"/>
            </w:pPr>
            <w:r>
              <w:rPr>
                <w:vertAlign w:val="superscript"/>
              </w:rPr>
              <w:t>*)</w:t>
            </w:r>
            <w:r>
              <w:t>   Minimalna zawartość lepiszcza jest określona przy założonej gęstości mieszanki mineralnej 2,650 Mg/m</w:t>
            </w:r>
            <w:r>
              <w:rPr>
                <w:vertAlign w:val="superscript"/>
              </w:rPr>
              <w:t>3</w:t>
            </w:r>
            <w:r>
              <w:t>. Jeżeli stosowana mieszanka mineralna ma inną gęstość (</w:t>
            </w:r>
            <w:r>
              <w:rPr>
                <w:i/>
                <w:iCs/>
              </w:rPr>
              <w:t>ρ</w:t>
            </w:r>
            <w:r>
              <w:rPr>
                <w:vertAlign w:val="subscript"/>
              </w:rPr>
              <w:t>d</w:t>
            </w:r>
            <w:r>
              <w:t xml:space="preserve">), to do wyznaczenia minimalnej zawartości lepiszcza podaną wartość należy pomnożyć przez współczynnik </w:t>
            </w:r>
            <w:r>
              <w:rPr>
                <w:noProof/>
                <w:vertAlign w:val="subscript"/>
                <w:lang w:eastAsia="pl-PL"/>
              </w:rPr>
              <w:drawing>
                <wp:inline distT="0" distB="0" distL="0" distR="0">
                  <wp:extent cx="152400" cy="142875"/>
                  <wp:effectExtent l="0" t="0" r="0" b="9525"/>
                  <wp:docPr id="13" name="Obraz 13" descr="D:\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D:\ost\Nawierzchnie\d050305a2016_pliki\image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według równania:</w:t>
            </w:r>
          </w:p>
          <w:p w:rsidR="00CD292D" w:rsidRDefault="00CD292D">
            <w:pPr>
              <w:jc w:val="center"/>
            </w:pPr>
            <w:r>
              <w:rPr>
                <w:noProof/>
                <w:vertAlign w:val="subscript"/>
                <w:lang w:eastAsia="pl-PL"/>
              </w:rPr>
              <w:drawing>
                <wp:inline distT="0" distB="0" distL="0" distR="0">
                  <wp:extent cx="561975" cy="428625"/>
                  <wp:effectExtent l="0" t="0" r="9525" b="9525"/>
                  <wp:docPr id="12" name="Obraz 12" descr="D:\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D:\ost\Nawierzchnie\d050305a2016_pliki\image00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CD292D" w:rsidRDefault="00CD292D" w:rsidP="00CD292D">
      <w:pPr>
        <w:pStyle w:val="Nagwek2"/>
        <w:spacing w:before="240"/>
        <w:rPr>
          <w:rFonts w:eastAsia="Times New Roman"/>
        </w:rPr>
      </w:pPr>
      <w:r>
        <w:rPr>
          <w:rFonts w:eastAsia="Times New Roman"/>
        </w:rPr>
        <w:t>2.10. Właściwości mieszaki mineralno-asfaltowej do wykonania betonu asfaltowego do warstwy ścieralnej</w:t>
      </w:r>
    </w:p>
    <w:p w:rsidR="00CD292D" w:rsidRDefault="00CD292D" w:rsidP="00CD292D">
      <w:pPr>
        <w:rPr>
          <w:rFonts w:eastAsiaTheme="minorEastAsia"/>
        </w:rPr>
      </w:pPr>
      <w:r>
        <w:t>            Wymagane właściwości mieszanki mineralno-asfaltowej podane są w tablicach  18, 19 i 20.</w:t>
      </w:r>
    </w:p>
    <w:p w:rsidR="00CD292D" w:rsidRDefault="00CD292D" w:rsidP="00CD292D">
      <w:pPr>
        <w:spacing w:before="120" w:after="120"/>
        <w:ind w:left="1276" w:hanging="1276"/>
      </w:pPr>
      <w:r>
        <w:t xml:space="preserve">Tablica 18.    Wymagane właściwości mieszanki mineralno-asfaltowej do warstwy ścieralnej, dla ruchu KR1 ÷ KR2 </w:t>
      </w:r>
    </w:p>
    <w:tbl>
      <w:tblPr>
        <w:tblW w:w="9773" w:type="dxa"/>
        <w:tblCellMar>
          <w:left w:w="0" w:type="dxa"/>
          <w:right w:w="0" w:type="dxa"/>
        </w:tblCellMar>
        <w:tblLook w:val="04A0" w:firstRow="1" w:lastRow="0" w:firstColumn="1" w:lastColumn="0" w:noHBand="0" w:noVBand="1"/>
      </w:tblPr>
      <w:tblGrid>
        <w:gridCol w:w="1526"/>
        <w:gridCol w:w="1611"/>
        <w:gridCol w:w="2410"/>
        <w:gridCol w:w="1391"/>
        <w:gridCol w:w="1418"/>
        <w:gridCol w:w="1417"/>
      </w:tblGrid>
      <w:tr w:rsidR="00CD292D" w:rsidTr="00CD292D">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xml:space="preserve">Warunki zagęszczania wg PN-EN </w:t>
            </w:r>
          </w:p>
          <w:p w:rsidR="00CD292D" w:rsidRDefault="00CD292D">
            <w:pPr>
              <w:jc w:val="center"/>
            </w:pPr>
            <w: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 </w:t>
            </w:r>
          </w:p>
          <w:p w:rsidR="00CD292D" w:rsidRDefault="00CD292D">
            <w:pPr>
              <w:jc w:val="center"/>
            </w:pPr>
            <w:r>
              <w:t>AC11S</w:t>
            </w:r>
          </w:p>
        </w:tc>
      </w:tr>
      <w:tr w:rsidR="00CD292D" w:rsidTr="00CD292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spacing w:before="120"/>
              <w:jc w:val="center"/>
            </w:pPr>
            <w:r>
              <w:t xml:space="preserve">PN-EN 12697-8 [35], </w:t>
            </w:r>
          </w:p>
          <w:p w:rsidR="00CD292D" w:rsidRDefault="00CD292D">
            <w:pPr>
              <w:jc w:val="center"/>
            </w:pPr>
            <w: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w:t>
            </w:r>
            <w:r>
              <w:rPr>
                <w:vertAlign w:val="subscript"/>
              </w:rPr>
              <w:t>min1,0</w:t>
            </w:r>
          </w:p>
          <w:p w:rsidR="00CD292D" w:rsidRDefault="00CD292D">
            <w:pPr>
              <w:jc w:val="center"/>
            </w:pPr>
            <w:r>
              <w:rPr>
                <w:i/>
                <w:iCs/>
              </w:rPr>
              <w:t>V</w:t>
            </w:r>
            <w:r>
              <w:rPr>
                <w:vertAlign w:val="subscript"/>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w:t>
            </w:r>
            <w:r>
              <w:rPr>
                <w:vertAlign w:val="subscript"/>
              </w:rPr>
              <w:t>min1,0</w:t>
            </w:r>
          </w:p>
          <w:p w:rsidR="00CD292D" w:rsidRDefault="00CD292D">
            <w:pPr>
              <w:jc w:val="center"/>
            </w:pPr>
            <w:r>
              <w:rPr>
                <w:i/>
                <w:iCs/>
              </w:rPr>
              <w:t>V</w:t>
            </w:r>
            <w:r>
              <w:rPr>
                <w:vertAlign w:val="subscript"/>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w:t>
            </w:r>
            <w:r>
              <w:rPr>
                <w:vertAlign w:val="subscript"/>
              </w:rPr>
              <w:t>min1,0</w:t>
            </w:r>
          </w:p>
          <w:p w:rsidR="00CD292D" w:rsidRDefault="00CD292D">
            <w:pPr>
              <w:jc w:val="center"/>
            </w:pPr>
            <w:r>
              <w:rPr>
                <w:i/>
                <w:iCs/>
              </w:rPr>
              <w:t>V</w:t>
            </w:r>
            <w:r>
              <w:rPr>
                <w:vertAlign w:val="subscript"/>
              </w:rPr>
              <w:t>max3,0</w:t>
            </w:r>
          </w:p>
        </w:tc>
      </w:tr>
      <w:tr w:rsidR="00CD292D" w:rsidTr="00CD292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 xml:space="preserve">Wolne przestrzenie </w:t>
            </w:r>
            <w:r>
              <w:lastRenderedPageBreak/>
              <w:t>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r>
              <w:lastRenderedPageBreak/>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spacing w:before="120"/>
              <w:jc w:val="center"/>
            </w:pPr>
            <w:r>
              <w:t xml:space="preserve">PN-EN 12697-8 [35], </w:t>
            </w:r>
          </w:p>
          <w:p w:rsidR="00CD292D" w:rsidRDefault="00CD292D">
            <w:pPr>
              <w:jc w:val="center"/>
            </w:pPr>
            <w: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min75</w:t>
            </w:r>
          </w:p>
          <w:p w:rsidR="00CD292D" w:rsidRDefault="00CD292D">
            <w:pPr>
              <w:jc w:val="center"/>
            </w:pPr>
            <w:r>
              <w:rPr>
                <w:i/>
                <w:iCs/>
              </w:rPr>
              <w:t>VFB</w:t>
            </w:r>
            <w:r>
              <w:rPr>
                <w:i/>
                <w:iCs/>
                <w:vertAlign w:val="subscript"/>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min75</w:t>
            </w:r>
          </w:p>
          <w:p w:rsidR="00CD292D" w:rsidRDefault="00CD292D">
            <w:pPr>
              <w:jc w:val="center"/>
            </w:pPr>
            <w:r>
              <w:rPr>
                <w:i/>
                <w:iCs/>
              </w:rPr>
              <w:t>VFB</w:t>
            </w:r>
            <w:r>
              <w:rPr>
                <w:i/>
                <w:iCs/>
                <w:vertAlign w:val="subscript"/>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min75</w:t>
            </w:r>
          </w:p>
          <w:p w:rsidR="00CD292D" w:rsidRDefault="00CD292D">
            <w:pPr>
              <w:jc w:val="center"/>
            </w:pPr>
            <w:r>
              <w:rPr>
                <w:i/>
                <w:iCs/>
              </w:rPr>
              <w:t>VFB</w:t>
            </w:r>
            <w:r>
              <w:rPr>
                <w:i/>
                <w:iCs/>
                <w:vertAlign w:val="subscript"/>
              </w:rPr>
              <w:t>max93</w:t>
            </w:r>
          </w:p>
        </w:tc>
      </w:tr>
      <w:tr w:rsidR="00CD292D" w:rsidTr="00CD292D">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spacing w:before="120"/>
              <w:jc w:val="center"/>
            </w:pPr>
            <w:r>
              <w:t xml:space="preserve">PN-EN 12697-8 [35], </w:t>
            </w:r>
          </w:p>
          <w:p w:rsidR="00CD292D" w:rsidRDefault="00CD292D">
            <w:pPr>
              <w:jc w:val="center"/>
            </w:pPr>
            <w: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min14</w:t>
            </w:r>
          </w:p>
        </w:tc>
      </w:tr>
      <w:tr w:rsidR="00CD292D" w:rsidTr="00CD292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r>
              <w:rPr>
                <w:vertAlign w:val="superscript"/>
              </w:rPr>
              <w:t>a)</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[37], przechowywanie w 40°C z jednym cyklem zamrażania, </w:t>
            </w:r>
          </w:p>
          <w:p w:rsidR="00CD292D" w:rsidRDefault="00CD292D">
            <w:pPr>
              <w:jc w:val="center"/>
            </w:pPr>
            <w: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r>
      <w:tr w:rsidR="00CD292D" w:rsidTr="00CD292D">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292D" w:rsidRDefault="00CD292D">
            <w:pPr>
              <w:ind w:left="206" w:hanging="206"/>
            </w:pPr>
            <w:r>
              <w:rPr>
                <w:vertAlign w:val="superscript"/>
              </w:rPr>
              <w:t>a)</w:t>
            </w:r>
            <w:r>
              <w:t xml:space="preserve"> Ujednoliconą procedurę badania odporności na działanie wody podano w WT-2 2014 [80] w załączniku 1</w:t>
            </w:r>
          </w:p>
        </w:tc>
      </w:tr>
    </w:tbl>
    <w:p w:rsidR="00CD292D" w:rsidRDefault="00CD292D" w:rsidP="00CD292D">
      <w:pPr>
        <w:spacing w:before="120" w:after="120"/>
        <w:ind w:left="1440" w:hanging="1440"/>
        <w:rPr>
          <w:rFonts w:eastAsiaTheme="minorEastAsia"/>
        </w:rPr>
      </w:pPr>
      <w:r>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CD292D" w:rsidTr="00CD292D">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xml:space="preserve">Warunki zagęszczania wg PN-EN </w:t>
            </w:r>
          </w:p>
          <w:p w:rsidR="00CD292D" w:rsidRDefault="00CD292D">
            <w:pPr>
              <w:jc w:val="center"/>
            </w:pPr>
            <w: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AC11S</w:t>
            </w:r>
          </w:p>
        </w:tc>
      </w:tr>
      <w:tr w:rsidR="00CD292D" w:rsidTr="00CD292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w:t>
            </w:r>
          </w:p>
          <w:p w:rsidR="00CD292D" w:rsidRDefault="00CD292D">
            <w: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r>
      <w:tr w:rsidR="00CD292D" w:rsidTr="00CD292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Odporność na deformacje trwałe </w:t>
            </w:r>
            <w:r>
              <w:rPr>
                <w:vertAlign w:val="superscript"/>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C.1.20, wałowanie,</w:t>
            </w:r>
          </w:p>
          <w:p w:rsidR="00CD292D" w:rsidRDefault="00CD292D">
            <w:r>
              <w:t>P</w:t>
            </w:r>
            <w:r>
              <w:rPr>
                <w:vertAlign w:val="subscript"/>
              </w:rPr>
              <w:t>98</w:t>
            </w:r>
            <w:r>
              <w:t>-P</w:t>
            </w:r>
            <w:r>
              <w:rPr>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rPr>
                <w:i/>
                <w:iCs/>
              </w:rPr>
              <w:t>WTS</w:t>
            </w:r>
            <w:r>
              <w:rPr>
                <w:vertAlign w:val="subscript"/>
              </w:rPr>
              <w:t>AIR 0,15</w:t>
            </w:r>
          </w:p>
          <w:p w:rsidR="00CD292D" w:rsidRDefault="00CD292D">
            <w:r>
              <w:rPr>
                <w:i/>
                <w:iCs/>
              </w:rPr>
              <w:t>PRD</w:t>
            </w:r>
            <w:r>
              <w:rPr>
                <w:vertAlign w:val="subscript"/>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WTS</w:t>
            </w:r>
            <w:r>
              <w:rPr>
                <w:vertAlign w:val="subscript"/>
              </w:rPr>
              <w:t>AIR 0,15</w:t>
            </w:r>
          </w:p>
          <w:p w:rsidR="00CD292D" w:rsidRDefault="00CD292D">
            <w:pPr>
              <w:jc w:val="center"/>
            </w:pPr>
            <w:r>
              <w:rPr>
                <w:i/>
                <w:iCs/>
              </w:rPr>
              <w:t>PRD</w:t>
            </w:r>
            <w:r>
              <w:rPr>
                <w:vertAlign w:val="subscript"/>
              </w:rPr>
              <w:t>AIR9,0</w:t>
            </w:r>
          </w:p>
        </w:tc>
      </w:tr>
      <w:tr w:rsidR="00CD292D" w:rsidTr="00CD292D">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C.1.1,</w:t>
            </w:r>
          </w:p>
          <w:p w:rsidR="00CD292D" w:rsidRDefault="00CD292D">
            <w: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[37], przechowywanie w 40°C z jednym cyklem zamrażania, </w:t>
            </w:r>
          </w:p>
          <w:p w:rsidR="00CD292D" w:rsidRDefault="00CD292D">
            <w:pPr>
              <w:jc w:val="center"/>
            </w:pPr>
            <w:r>
              <w:t>badanie w 25°C</w:t>
            </w:r>
            <w:r>
              <w:rPr>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r>
      <w:tr w:rsidR="00CD292D" w:rsidTr="00CD292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D292D" w:rsidRDefault="00CD292D">
            <w:pPr>
              <w:ind w:left="180" w:hanging="142"/>
            </w:pPr>
            <w:r>
              <w:rPr>
                <w:vertAlign w:val="superscript"/>
              </w:rPr>
              <w:t>a)</w:t>
            </w:r>
            <w:r>
              <w:t> Grubość plyty: AC8, AC11  40 mm</w:t>
            </w:r>
          </w:p>
          <w:p w:rsidR="00CD292D" w:rsidRDefault="00CD292D">
            <w:pPr>
              <w:ind w:left="180" w:hanging="142"/>
            </w:pPr>
            <w:r>
              <w:rPr>
                <w:vertAlign w:val="superscript"/>
              </w:rPr>
              <w:t>b)</w:t>
            </w:r>
            <w:r>
              <w:t> Ujednoliconą procedurę badania odporności na działanie wody podano w WT-2 2014 [80] w załączniku 1</w:t>
            </w:r>
          </w:p>
          <w:p w:rsidR="00CD292D" w:rsidRDefault="00CD292D">
            <w:pPr>
              <w:ind w:left="180" w:hanging="142"/>
            </w:pPr>
            <w:r>
              <w:rPr>
                <w:vertAlign w:val="superscript"/>
              </w:rPr>
              <w:t>c) </w:t>
            </w:r>
            <w:r>
              <w:t>Procedurę kondycjonowania krótkoterminowego mma przed zagęszczeniem próbek do badań podano w WT-2 2014 [80] w załączniku 2</w:t>
            </w:r>
          </w:p>
        </w:tc>
      </w:tr>
    </w:tbl>
    <w:p w:rsidR="00CD292D" w:rsidRDefault="00CD292D" w:rsidP="00CD292D">
      <w:pPr>
        <w:spacing w:before="120" w:after="120"/>
        <w:ind w:left="1559" w:hanging="1559"/>
        <w:rPr>
          <w:rFonts w:eastAsiaTheme="minorEastAsia"/>
        </w:rPr>
      </w:pPr>
      <w: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CD292D" w:rsidTr="00CD292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 </w:t>
            </w:r>
          </w:p>
          <w:p w:rsidR="00CD292D" w:rsidRDefault="00CD292D">
            <w:pPr>
              <w:jc w:val="center"/>
            </w:pPr>
            <w: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xml:space="preserve">Warunki zagęszczania wg PN-EN </w:t>
            </w:r>
          </w:p>
          <w:p w:rsidR="00CD292D" w:rsidRDefault="00CD292D">
            <w:pPr>
              <w:jc w:val="center"/>
            </w:pPr>
            <w: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AC11S</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w:t>
            </w:r>
          </w:p>
          <w:p w:rsidR="00CD292D" w:rsidRDefault="00CD292D">
            <w:r>
              <w:t xml:space="preserve">ubijanie, </w:t>
            </w:r>
          </w:p>
          <w:p w:rsidR="00CD292D" w:rsidRDefault="00CD292D">
            <w: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12697-8 [35], </w:t>
            </w:r>
          </w:p>
          <w:p w:rsidR="00CD292D" w:rsidRDefault="00CD292D">
            <w:pPr>
              <w:jc w:val="center"/>
            </w:pPr>
            <w: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min2,0</w:t>
            </w:r>
          </w:p>
          <w:p w:rsidR="00CD292D" w:rsidRDefault="00CD292D">
            <w:pPr>
              <w:jc w:val="center"/>
            </w:pPr>
            <w:r>
              <w:rPr>
                <w:i/>
                <w:iCs/>
              </w:rPr>
              <w:t>V</w:t>
            </w:r>
            <w:r>
              <w:rPr>
                <w:vertAlign w:val="subscript"/>
              </w:rPr>
              <w:t>max4</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Odporność na deformacje trwałe </w:t>
            </w:r>
            <w:r>
              <w:rPr>
                <w:vertAlign w:val="superscript"/>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C.1.20, wałowanie,</w:t>
            </w:r>
          </w:p>
          <w:p w:rsidR="00CD292D" w:rsidRDefault="00CD292D">
            <w:r>
              <w:t>P</w:t>
            </w:r>
            <w:r>
              <w:rPr>
                <w:vertAlign w:val="subscript"/>
              </w:rPr>
              <w:t>98</w:t>
            </w:r>
            <w:r>
              <w:t>-P</w:t>
            </w:r>
            <w:r>
              <w:rPr>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rPr>
                <w:i/>
                <w:iCs/>
              </w:rPr>
              <w:t>WTS</w:t>
            </w:r>
            <w:r>
              <w:rPr>
                <w:vertAlign w:val="subscript"/>
              </w:rPr>
              <w:t>AIR 0,10</w:t>
            </w:r>
          </w:p>
          <w:p w:rsidR="00CD292D" w:rsidRDefault="00CD292D">
            <w:r>
              <w:rPr>
                <w:i/>
                <w:iCs/>
              </w:rPr>
              <w:t>PRD</w:t>
            </w:r>
            <w:r>
              <w:rPr>
                <w:vertAlign w:val="subscript"/>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WTS</w:t>
            </w:r>
            <w:r>
              <w:rPr>
                <w:vertAlign w:val="subscript"/>
              </w:rPr>
              <w:t>AIR 0,10</w:t>
            </w:r>
          </w:p>
          <w:p w:rsidR="00CD292D" w:rsidRDefault="00CD292D">
            <w:pPr>
              <w:jc w:val="center"/>
            </w:pPr>
            <w:r>
              <w:rPr>
                <w:i/>
                <w:iCs/>
              </w:rPr>
              <w:t>PRD</w:t>
            </w:r>
            <w:r>
              <w:rPr>
                <w:vertAlign w:val="subscript"/>
              </w:rPr>
              <w:t>AIR7,0</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[37], przechowywanie w 40°C z jednym cyklem zamrażania, </w:t>
            </w:r>
          </w:p>
          <w:p w:rsidR="00CD292D" w:rsidRDefault="00CD292D">
            <w:pPr>
              <w:jc w:val="center"/>
            </w:pPr>
            <w:r>
              <w:t xml:space="preserve">badanie w 25°C </w:t>
            </w:r>
            <w:r>
              <w:rPr>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vertAlign w:val="subscript"/>
              </w:rPr>
              <w:t>90</w:t>
            </w:r>
          </w:p>
        </w:tc>
      </w:tr>
      <w:tr w:rsidR="00CD292D" w:rsidTr="00CD292D">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Q</w:t>
            </w:r>
            <w:r>
              <w:rPr>
                <w:i/>
                <w:iCs/>
                <w:vertAlign w:val="subscript"/>
              </w:rPr>
              <w:t>d</w:t>
            </w:r>
            <w:r>
              <w:rPr>
                <w:i/>
                <w:iCs/>
              </w:rPr>
              <w:t>≥70</w:t>
            </w:r>
            <w:r>
              <w:rPr>
                <w:i/>
                <w:iCs/>
                <w:vertAlign w:val="superscript"/>
              </w:rPr>
              <w:t>d</w:t>
            </w:r>
          </w:p>
          <w:p w:rsidR="00CD292D" w:rsidRDefault="00CD292D">
            <w:pPr>
              <w:jc w:val="center"/>
            </w:pPr>
            <w:r>
              <w:rPr>
                <w:i/>
                <w:iCs/>
              </w:rPr>
              <w:t>Q</w:t>
            </w:r>
            <w:r>
              <w:rPr>
                <w:i/>
                <w:iCs/>
                <w:vertAlign w:val="subscript"/>
              </w:rPr>
              <w:t>d</w:t>
            </w:r>
            <w:r>
              <w:rPr>
                <w:i/>
                <w:iCs/>
              </w:rPr>
              <w:t>≥90</w:t>
            </w:r>
            <w:r>
              <w:rPr>
                <w:i/>
                <w:iCs/>
                <w:vertAlign w:val="superscript"/>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Q</w:t>
            </w:r>
            <w:r>
              <w:rPr>
                <w:i/>
                <w:iCs/>
                <w:vertAlign w:val="subscript"/>
              </w:rPr>
              <w:t>d</w:t>
            </w:r>
            <w:r>
              <w:rPr>
                <w:i/>
                <w:iCs/>
              </w:rPr>
              <w:t>≥70</w:t>
            </w:r>
            <w:r>
              <w:rPr>
                <w:i/>
                <w:iCs/>
                <w:vertAlign w:val="superscript"/>
              </w:rPr>
              <w:t>d</w:t>
            </w:r>
          </w:p>
          <w:p w:rsidR="00CD292D" w:rsidRDefault="00CD292D">
            <w:pPr>
              <w:jc w:val="center"/>
            </w:pPr>
            <w:r>
              <w:rPr>
                <w:i/>
                <w:iCs/>
              </w:rPr>
              <w:t>Q</w:t>
            </w:r>
            <w:r>
              <w:rPr>
                <w:i/>
                <w:iCs/>
                <w:vertAlign w:val="subscript"/>
              </w:rPr>
              <w:t>d</w:t>
            </w:r>
            <w:r>
              <w:rPr>
                <w:i/>
                <w:iCs/>
              </w:rPr>
              <w:t>≥90</w:t>
            </w:r>
            <w:r>
              <w:rPr>
                <w:i/>
                <w:iCs/>
                <w:vertAlign w:val="superscript"/>
              </w:rPr>
              <w:t>e</w:t>
            </w:r>
          </w:p>
        </w:tc>
      </w:tr>
      <w:tr w:rsidR="00CD292D" w:rsidTr="00CD292D">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D292D" w:rsidRDefault="00CD292D">
            <w:pPr>
              <w:ind w:left="180" w:hanging="142"/>
            </w:pPr>
            <w:r>
              <w:rPr>
                <w:vertAlign w:val="superscript"/>
              </w:rPr>
              <w:t>a)</w:t>
            </w:r>
            <w:r>
              <w:t xml:space="preserve"> Grubość płyty: AC8, AC11  40 mm.</w:t>
            </w:r>
          </w:p>
          <w:p w:rsidR="00CD292D" w:rsidRDefault="00CD292D">
            <w:pPr>
              <w:ind w:left="180" w:hanging="142"/>
            </w:pPr>
            <w:r>
              <w:rPr>
                <w:vertAlign w:val="superscript"/>
              </w:rPr>
              <w:t>b)</w:t>
            </w:r>
            <w:r>
              <w:t xml:space="preserve"> Ujednoliconą procedurę badania odporności na działanie wody podano w WT-2 2014[80] w załączniku 1.</w:t>
            </w:r>
          </w:p>
          <w:p w:rsidR="00CD292D" w:rsidRDefault="00CD292D">
            <w:pPr>
              <w:ind w:left="180" w:hanging="142"/>
            </w:pPr>
            <w:r>
              <w:rPr>
                <w:vertAlign w:val="superscript"/>
              </w:rPr>
              <w:t>c) </w:t>
            </w:r>
            <w:r>
              <w:t>Procedurę kondycjonowania krótkoterminowego mma przed zagęszczeniem próbek do badań podano w WT-2 2014[80] w załączniku 2</w:t>
            </w:r>
          </w:p>
          <w:p w:rsidR="00CD292D" w:rsidRDefault="00CD292D">
            <w:pPr>
              <w:ind w:left="180" w:hanging="142"/>
            </w:pPr>
            <w:r>
              <w:rPr>
                <w:vertAlign w:val="superscript"/>
              </w:rPr>
              <w:t>d)</w:t>
            </w:r>
            <w:r>
              <w:t> wymaganie dotyczy nawierzchni wykonywanych w terenach otwartych</w:t>
            </w:r>
          </w:p>
          <w:p w:rsidR="00CD292D" w:rsidRDefault="00CD292D">
            <w:pPr>
              <w:ind w:left="180" w:hanging="142"/>
            </w:pPr>
            <w:r>
              <w:rPr>
                <w:vertAlign w:val="superscript"/>
              </w:rPr>
              <w:t>e)</w:t>
            </w:r>
            <w:r>
              <w:t> wymaganie dotyczy nawierzchni wykonywanych w tunelach</w:t>
            </w:r>
          </w:p>
        </w:tc>
      </w:tr>
    </w:tbl>
    <w:p w:rsidR="00CD292D" w:rsidRDefault="00CD292D" w:rsidP="00CD292D">
      <w:pPr>
        <w:pStyle w:val="Nagwek1"/>
        <w:rPr>
          <w:rFonts w:eastAsia="Times New Roman"/>
        </w:rPr>
      </w:pPr>
      <w:bookmarkStart w:id="517" w:name="_Toc412637946"/>
      <w:r>
        <w:rPr>
          <w:rFonts w:eastAsia="Times New Roman"/>
        </w:rPr>
        <w:t>3. Sprzęt</w:t>
      </w:r>
      <w:bookmarkEnd w:id="517"/>
    </w:p>
    <w:p w:rsidR="00CD292D" w:rsidRDefault="00CD292D" w:rsidP="00CD292D">
      <w:pPr>
        <w:pStyle w:val="Nagwek2"/>
        <w:rPr>
          <w:rFonts w:eastAsia="Times New Roman"/>
        </w:rPr>
      </w:pPr>
      <w:r>
        <w:rPr>
          <w:rFonts w:eastAsia="Times New Roman"/>
        </w:rPr>
        <w:t>3.1. Ogólne wymagania dotyczące sprzętu</w:t>
      </w:r>
    </w:p>
    <w:p w:rsidR="00CD292D" w:rsidRDefault="00CD292D" w:rsidP="00CD292D">
      <w:pPr>
        <w:rPr>
          <w:rFonts w:eastAsiaTheme="minorEastAsia"/>
        </w:rPr>
      </w:pPr>
      <w:r>
        <w:t>            Ogólne wymagania dotyczące sprzętu podano w OST  D-M-00.00.00 „Wymagania ogólne” [1] pkt 3.</w:t>
      </w:r>
    </w:p>
    <w:p w:rsidR="00CD292D" w:rsidRDefault="00CD292D" w:rsidP="00CD292D">
      <w:pPr>
        <w:pStyle w:val="Nagwek2"/>
        <w:rPr>
          <w:rFonts w:eastAsia="Times New Roman"/>
        </w:rPr>
      </w:pPr>
      <w:r>
        <w:rPr>
          <w:rFonts w:eastAsia="Times New Roman"/>
        </w:rPr>
        <w:t>3.2. Sprzęt stosowany do wykonania robót</w:t>
      </w:r>
    </w:p>
    <w:p w:rsidR="00CD292D" w:rsidRDefault="00CD292D" w:rsidP="00CD292D">
      <w:pPr>
        <w:rPr>
          <w:rFonts w:eastAsiaTheme="minorEastAsia"/>
        </w:rPr>
      </w:pPr>
      <w:r>
        <w:t>            Przy wykonywaniu robót Wykonawca w zależności od potrzeb, powinien wykazać się możliwością korzystania ze sprzętu dostosowanego do przyjętej metody robót, jak:</w:t>
      </w:r>
    </w:p>
    <w:p w:rsidR="00CD292D" w:rsidRDefault="00CD292D" w:rsidP="00CD292D">
      <w:pPr>
        <w:ind w:left="360" w:hanging="360"/>
      </w:pPr>
      <w:r>
        <w:t>a)</w:t>
      </w:r>
      <w:r>
        <w:rPr>
          <w:sz w:val="14"/>
          <w:szCs w:val="14"/>
        </w:rPr>
        <w:t xml:space="preserve">      </w:t>
      </w:r>
      <w:r>
        <w:t>wytwórnia (otaczarka</w:t>
      </w:r>
      <w:r>
        <w:rPr>
          <w:b/>
          <w:bCs/>
        </w:rPr>
        <w:t>)</w:t>
      </w:r>
      <w:r>
        <w:t xml:space="preserve"> o mieszaniu cyklicznym lub ciągłym, z automatycznym komputerowym sterowaniem produkcji, do wytwarzania mieszanek mineralno-asfaltowych,</w:t>
      </w:r>
      <w: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br/>
      </w:r>
      <w:r>
        <w:lastRenderedPageBreak/>
        <w:t>Wytwórnia powinna być wyposażona w termometry (urządzenia pomiarowe) pozwalające na ciągłe monitorowanie temperatury poszczególnych materiałów, na różnych etapach przygotowywania materiałów, jak i na wyjściu z mieszalnika,</w:t>
      </w:r>
    </w:p>
    <w:p w:rsidR="00CD292D" w:rsidRDefault="00CD292D" w:rsidP="00CD292D">
      <w:pPr>
        <w:ind w:left="360" w:hanging="360"/>
      </w:pPr>
      <w:r>
        <w:t>b)</w:t>
      </w:r>
      <w:r>
        <w:rPr>
          <w:sz w:val="14"/>
          <w:szCs w:val="14"/>
        </w:rPr>
        <w:t xml:space="preserve">      </w:t>
      </w:r>
      <w:r>
        <w:t>układarka gąsienicowa, z elektronicznym sterowaniem równości układanej warstwy,</w:t>
      </w:r>
    </w:p>
    <w:p w:rsidR="00CD292D" w:rsidRDefault="00CD292D" w:rsidP="00CD292D">
      <w:pPr>
        <w:ind w:left="360" w:hanging="360"/>
      </w:pPr>
      <w:r>
        <w:t>c)</w:t>
      </w:r>
      <w:r>
        <w:rPr>
          <w:sz w:val="14"/>
          <w:szCs w:val="14"/>
        </w:rPr>
        <w:t xml:space="preserve">      </w:t>
      </w:r>
      <w:r>
        <w:t>skrapiarka,</w:t>
      </w:r>
    </w:p>
    <w:p w:rsidR="00CD292D" w:rsidRDefault="00CD292D" w:rsidP="00CD292D">
      <w:pPr>
        <w:ind w:left="360" w:hanging="360"/>
      </w:pPr>
      <w:r>
        <w:t>d)</w:t>
      </w:r>
      <w:r>
        <w:rPr>
          <w:sz w:val="14"/>
          <w:szCs w:val="14"/>
        </w:rPr>
        <w:t xml:space="preserve">     </w:t>
      </w:r>
      <w:r>
        <w:t xml:space="preserve">walce stalowe gładkie, </w:t>
      </w:r>
    </w:p>
    <w:p w:rsidR="00CD292D" w:rsidRDefault="00CD292D" w:rsidP="00CD292D">
      <w:pPr>
        <w:ind w:left="360" w:hanging="360"/>
      </w:pPr>
      <w:r>
        <w:t>e)</w:t>
      </w:r>
      <w:r>
        <w:rPr>
          <w:sz w:val="14"/>
          <w:szCs w:val="14"/>
        </w:rPr>
        <w:t xml:space="preserve">      </w:t>
      </w:r>
      <w:r>
        <w:t>lekka rozsypywarka kruszywa,</w:t>
      </w:r>
    </w:p>
    <w:p w:rsidR="00CD292D" w:rsidRDefault="00CD292D" w:rsidP="00CD292D">
      <w:pPr>
        <w:ind w:left="360" w:hanging="360"/>
      </w:pPr>
      <w:r>
        <w:t>f)</w:t>
      </w:r>
      <w:r>
        <w:rPr>
          <w:sz w:val="14"/>
          <w:szCs w:val="14"/>
        </w:rPr>
        <w:t xml:space="preserve">       </w:t>
      </w:r>
      <w:r>
        <w:t>szczotki mechaniczne i/lub inne urządzenia czyszczące,</w:t>
      </w:r>
    </w:p>
    <w:p w:rsidR="00CD292D" w:rsidRDefault="00CD292D" w:rsidP="00CD292D">
      <w:pPr>
        <w:ind w:left="360" w:hanging="360"/>
      </w:pPr>
      <w:r>
        <w:t>g)</w:t>
      </w:r>
      <w:r>
        <w:rPr>
          <w:sz w:val="14"/>
          <w:szCs w:val="14"/>
        </w:rPr>
        <w:t xml:space="preserve">      </w:t>
      </w:r>
      <w:r>
        <w:t>samochody samowyładowcze z przykryciem brezentowym lub termosami,</w:t>
      </w:r>
    </w:p>
    <w:p w:rsidR="00CD292D" w:rsidRDefault="00CD292D" w:rsidP="00CD292D">
      <w:pPr>
        <w:ind w:left="360" w:hanging="360"/>
      </w:pPr>
      <w:r>
        <w:t>h)</w:t>
      </w:r>
      <w:r>
        <w:rPr>
          <w:sz w:val="14"/>
          <w:szCs w:val="14"/>
        </w:rPr>
        <w:t xml:space="preserve">      </w:t>
      </w:r>
      <w:r>
        <w:t>sprzęt drobny.</w:t>
      </w:r>
    </w:p>
    <w:p w:rsidR="00CD292D" w:rsidRDefault="00CD292D" w:rsidP="00CD292D">
      <w:r>
        <w:t>            Sprzęt powinien odpowiadać wymaganiom określonym w dokumentacji projektowej, ST, instrukcjach producentów lub propozycji Wykonawcy i powinien być zaakceptowany przez Inżyniera.</w:t>
      </w:r>
    </w:p>
    <w:p w:rsidR="00CD292D" w:rsidRDefault="00CD292D" w:rsidP="00CD292D">
      <w:pPr>
        <w:pStyle w:val="Nagwek1"/>
        <w:rPr>
          <w:rFonts w:eastAsia="Times New Roman"/>
        </w:rPr>
      </w:pPr>
      <w:bookmarkStart w:id="518" w:name="_Toc412637947"/>
      <w:r>
        <w:rPr>
          <w:rFonts w:eastAsia="Times New Roman"/>
        </w:rPr>
        <w:t>4. Transport</w:t>
      </w:r>
      <w:bookmarkEnd w:id="518"/>
    </w:p>
    <w:p w:rsidR="00CD292D" w:rsidRDefault="00CD292D" w:rsidP="00CD292D">
      <w:pPr>
        <w:pStyle w:val="Nagwek2"/>
        <w:rPr>
          <w:rFonts w:eastAsia="Times New Roman"/>
        </w:rPr>
      </w:pPr>
      <w:r>
        <w:rPr>
          <w:rFonts w:eastAsia="Times New Roman"/>
        </w:rPr>
        <w:t>4.1. Ogólne wymagania dotyczące transportu</w:t>
      </w:r>
    </w:p>
    <w:p w:rsidR="00CD292D" w:rsidRDefault="00CD292D" w:rsidP="00CD292D">
      <w:pPr>
        <w:rPr>
          <w:rFonts w:eastAsiaTheme="minorEastAsia"/>
        </w:rPr>
      </w:pPr>
      <w:r>
        <w:t xml:space="preserve">            Ogólne wymagania dotyczące transportu podano w OST D-M-00.00.00 „Wymagania ogólne” [1] pkt 4.            </w:t>
      </w:r>
    </w:p>
    <w:p w:rsidR="00CD292D" w:rsidRDefault="00CD292D" w:rsidP="00CD292D">
      <w:pPr>
        <w:pStyle w:val="Nagwek2"/>
        <w:rPr>
          <w:rFonts w:eastAsia="Times New Roman"/>
        </w:rPr>
      </w:pPr>
      <w:r>
        <w:rPr>
          <w:rFonts w:eastAsia="Times New Roman"/>
        </w:rPr>
        <w:t xml:space="preserve">4.2. Transport materiałów </w:t>
      </w:r>
    </w:p>
    <w:p w:rsidR="00CD292D" w:rsidRDefault="00CD292D" w:rsidP="00CD292D">
      <w:pPr>
        <w:rPr>
          <w:rFonts w:eastAsiaTheme="minorEastAsia"/>
        </w:rPr>
      </w:pPr>
      <w:r>
        <w:t>            Asfalt i polimeroasfalt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rsidR="00CD292D" w:rsidRDefault="00CD292D" w:rsidP="00CD292D">
      <w:pPr>
        <w:ind w:firstLine="709"/>
      </w:pPr>
      <w:r>
        <w:t>Kruszywa można przewozić dowolnymi środkami transportu, w warunkach zabezpieczających je przed zanieczyszczeniem, zmieszaniem z innymi materiałami i nadmiernym zawilgoceniem.</w:t>
      </w:r>
    </w:p>
    <w:p w:rsidR="00CD292D" w:rsidRDefault="00CD292D" w:rsidP="00CD292D">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CD292D" w:rsidRDefault="00CD292D" w:rsidP="00CD292D">
      <w:pPr>
        <w:ind w:firstLine="709"/>
      </w:pPr>
      <w:r>
        <w:t xml:space="preserve">Środek adhezyjny, w opakowaniu producenta, może być przewożony dowolnymi środkami transportu z uwzględnieniem zaleceń producenta. Opakowanie powinno być zabezpieczone tak, aby nie uległo uszkodzeniu. </w:t>
      </w:r>
    </w:p>
    <w:p w:rsidR="00CD292D" w:rsidRDefault="00CD292D" w:rsidP="00CD292D">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CD292D" w:rsidRDefault="00CD292D" w:rsidP="00CD292D">
      <w:pPr>
        <w:ind w:firstLine="709"/>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w:t>
      </w:r>
      <w:r>
        <w:lastRenderedPageBreak/>
        <w:t xml:space="preserve">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CD292D" w:rsidRDefault="00CD292D" w:rsidP="00CD292D">
      <w:pPr>
        <w:ind w:firstLine="709"/>
      </w:pPr>
      <w:r>
        <w:t>Powierzchnie pojemników używanych do transportu mieszanki powinny być czyste, a do zwilżania tych powierzchni można używać tylko środki antyadhezyjne niewpływające szkodliwie na mieszankę.</w:t>
      </w:r>
      <w:bookmarkStart w:id="519" w:name="_Toc412637948"/>
      <w:r>
        <w:t xml:space="preserve"> Zabrania się skrapiania skrzyń olejem na pędowym lub innymi środkami ropopochodnymi. </w:t>
      </w:r>
      <w:bookmarkEnd w:id="519"/>
    </w:p>
    <w:p w:rsidR="00CD292D" w:rsidRDefault="00CD292D" w:rsidP="00CD292D">
      <w:pPr>
        <w:pStyle w:val="Nagwek1"/>
        <w:rPr>
          <w:rFonts w:eastAsia="Times New Roman"/>
        </w:rPr>
      </w:pPr>
      <w:r>
        <w:rPr>
          <w:rFonts w:eastAsia="Times New Roman"/>
        </w:rPr>
        <w:t>5. Wykonanie robót</w:t>
      </w:r>
    </w:p>
    <w:p w:rsidR="00CD292D" w:rsidRDefault="00CD292D" w:rsidP="00CD292D">
      <w:pPr>
        <w:pStyle w:val="Nagwek2"/>
        <w:rPr>
          <w:rFonts w:eastAsia="Times New Roman"/>
        </w:rPr>
      </w:pPr>
      <w:r>
        <w:rPr>
          <w:rFonts w:eastAsia="Times New Roman"/>
        </w:rPr>
        <w:t>5.1. Ogólne zasady wykonania robót</w:t>
      </w:r>
    </w:p>
    <w:p w:rsidR="00CD292D" w:rsidRDefault="00CD292D" w:rsidP="00CD292D">
      <w:pPr>
        <w:rPr>
          <w:rFonts w:eastAsiaTheme="minorEastAsia"/>
        </w:rPr>
      </w:pPr>
      <w:r>
        <w:t>            Ogólne zasady wykonania robót podano w OST D-M-00.00.00 „Wymagania ogólne” [1] pkt 5.</w:t>
      </w:r>
    </w:p>
    <w:p w:rsidR="00CD292D" w:rsidRDefault="00CD292D" w:rsidP="00CD292D">
      <w:pPr>
        <w:pStyle w:val="Nagwek2"/>
        <w:rPr>
          <w:rFonts w:eastAsia="Times New Roman"/>
        </w:rPr>
      </w:pPr>
      <w:r>
        <w:rPr>
          <w:rFonts w:eastAsia="Times New Roman"/>
        </w:rPr>
        <w:t>5.2. Projektowanie mieszanki mineralno-asfaltowej</w:t>
      </w:r>
    </w:p>
    <w:p w:rsidR="00CD292D" w:rsidRDefault="00CD292D" w:rsidP="00CD292D">
      <w:pPr>
        <w:ind w:right="-59"/>
        <w:rPr>
          <w:rFonts w:eastAsiaTheme="minorEastAsia"/>
        </w:rPr>
      </w:pPr>
      <w:r>
        <w:t>            Przed przystąpieniem do robót Wykonawca dostarczy Inżynierowi do akceptacji projekt składu mieszanki mineralno-asfaltowej (AC5S, AC8S, AC11S)</w:t>
      </w:r>
      <w:r>
        <w:rPr>
          <w:color w:val="000000"/>
        </w:rPr>
        <w:t>, wyniki badań laboratoryjnych oraz próbki materiałów pobrane w obecności Inżyniera do wykonania badań kontrolnych przez Zamawiającego.</w:t>
      </w:r>
    </w:p>
    <w:p w:rsidR="00CD292D" w:rsidRDefault="00CD292D" w:rsidP="00CD292D">
      <w:pPr>
        <w:ind w:right="-59" w:firstLine="709"/>
      </w:pPr>
      <w:r>
        <w:rPr>
          <w:color w:val="000000"/>
        </w:rPr>
        <w:t xml:space="preserve">Projekt mieszanki mineralno-asfaltowej powinien określać: </w:t>
      </w:r>
    </w:p>
    <w:p w:rsidR="00CD292D" w:rsidRDefault="00CD292D" w:rsidP="00CD292D">
      <w:pPr>
        <w:ind w:left="425" w:right="-59" w:hanging="425"/>
      </w:pPr>
      <w:r>
        <w:rPr>
          <w:rFonts w:ascii="Symbol" w:hAnsi="Symbol"/>
        </w:rPr>
        <w:t></w:t>
      </w:r>
      <w:r>
        <w:rPr>
          <w:sz w:val="14"/>
          <w:szCs w:val="14"/>
        </w:rPr>
        <w:t xml:space="preserve">          </w:t>
      </w:r>
      <w:r>
        <w:rPr>
          <w:color w:val="000000"/>
        </w:rPr>
        <w:t>źródło wszystkich zastosowanych materiałów,</w:t>
      </w:r>
    </w:p>
    <w:p w:rsidR="00CD292D" w:rsidRDefault="00CD292D" w:rsidP="00CD292D">
      <w:pPr>
        <w:ind w:left="425" w:right="-59" w:hanging="425"/>
      </w:pPr>
      <w:r>
        <w:rPr>
          <w:rFonts w:ascii="Symbol" w:hAnsi="Symbol"/>
        </w:rPr>
        <w:t></w:t>
      </w:r>
      <w:r>
        <w:rPr>
          <w:sz w:val="14"/>
          <w:szCs w:val="14"/>
        </w:rPr>
        <w:t xml:space="preserve">          </w:t>
      </w:r>
      <w:r>
        <w:rPr>
          <w:color w:val="000000"/>
        </w:rPr>
        <w:t>proporcje wszystkich składników mieszanki mineralnej,</w:t>
      </w:r>
    </w:p>
    <w:p w:rsidR="00CD292D" w:rsidRDefault="00CD292D" w:rsidP="00CD292D">
      <w:pPr>
        <w:ind w:left="425" w:right="-59" w:hanging="425"/>
      </w:pPr>
      <w:r>
        <w:rPr>
          <w:rFonts w:ascii="Symbol" w:hAnsi="Symbol"/>
        </w:rPr>
        <w:t></w:t>
      </w:r>
      <w:r>
        <w:rPr>
          <w:sz w:val="14"/>
          <w:szCs w:val="14"/>
        </w:rPr>
        <w:t xml:space="preserve">          </w:t>
      </w:r>
      <w:r>
        <w:rPr>
          <w:color w:val="000000"/>
        </w:rPr>
        <w:t>punkty graniczne uziarnienia,</w:t>
      </w:r>
    </w:p>
    <w:p w:rsidR="00CD292D" w:rsidRDefault="00CD292D" w:rsidP="00CD292D">
      <w:pPr>
        <w:ind w:left="425" w:right="-59" w:hanging="425"/>
      </w:pPr>
      <w:r>
        <w:rPr>
          <w:rFonts w:ascii="Symbol" w:hAnsi="Symbol"/>
        </w:rPr>
        <w:t></w:t>
      </w:r>
      <w:r>
        <w:rPr>
          <w:sz w:val="14"/>
          <w:szCs w:val="14"/>
        </w:rPr>
        <w:t xml:space="preserve">          </w:t>
      </w:r>
      <w:r>
        <w:rPr>
          <w:color w:val="000000"/>
        </w:rPr>
        <w:t>wyniki badań przeprowadzonych w celu określenia właściwości mieszanki i porównanie ich z wymaganiami specyfikacji,</w:t>
      </w:r>
    </w:p>
    <w:p w:rsidR="00CD292D" w:rsidRDefault="00CD292D" w:rsidP="00CD292D">
      <w:pPr>
        <w:ind w:left="425" w:right="-59" w:hanging="425"/>
      </w:pPr>
      <w:r>
        <w:rPr>
          <w:rFonts w:ascii="Symbol" w:hAnsi="Symbol"/>
        </w:rPr>
        <w:t></w:t>
      </w:r>
      <w:r>
        <w:rPr>
          <w:sz w:val="14"/>
          <w:szCs w:val="14"/>
        </w:rPr>
        <w:t xml:space="preserve">          </w:t>
      </w:r>
      <w:r>
        <w:rPr>
          <w:color w:val="000000"/>
        </w:rPr>
        <w:t xml:space="preserve">wyniki badań dotyczących fizycznych właściwości kruszywa, </w:t>
      </w:r>
    </w:p>
    <w:p w:rsidR="00CD292D" w:rsidRDefault="00CD292D" w:rsidP="00CD292D">
      <w:pPr>
        <w:ind w:left="425" w:right="-59" w:hanging="425"/>
      </w:pPr>
      <w:r>
        <w:rPr>
          <w:rFonts w:ascii="Symbol" w:hAnsi="Symbol"/>
        </w:rPr>
        <w:t></w:t>
      </w:r>
      <w:r>
        <w:rPr>
          <w:sz w:val="14"/>
          <w:szCs w:val="14"/>
        </w:rPr>
        <w:t xml:space="preserve">          </w:t>
      </w:r>
      <w:r>
        <w:rPr>
          <w:color w:val="000000"/>
        </w:rPr>
        <w:t xml:space="preserve">temperaturę wytwarzania i układania mieszanki. </w:t>
      </w:r>
    </w:p>
    <w:p w:rsidR="00CD292D" w:rsidRDefault="00CD292D" w:rsidP="00CD292D">
      <w:pPr>
        <w:ind w:firstLine="709"/>
      </w:pPr>
      <w:r>
        <w:t xml:space="preserve">W zagęszczaniu próbek laboratoryjnych mieszanek mineralno-asfaltowych należy stosować następujące temperatury mieszanki w zależności stosowanego asfaltu: </w:t>
      </w:r>
    </w:p>
    <w:p w:rsidR="00CD292D" w:rsidRDefault="00CD292D" w:rsidP="00CD292D">
      <w:pPr>
        <w:ind w:left="425" w:right="-59" w:hanging="425"/>
      </w:pPr>
      <w:r>
        <w:rPr>
          <w:rFonts w:ascii="Symbol" w:hAnsi="Symbol"/>
        </w:rPr>
        <w:t></w:t>
      </w:r>
      <w:r>
        <w:rPr>
          <w:sz w:val="14"/>
          <w:szCs w:val="14"/>
        </w:rPr>
        <w:t xml:space="preserve">          </w:t>
      </w:r>
      <w:r>
        <w:rPr>
          <w:color w:val="000000"/>
        </w:rPr>
        <w:t>50/70 i 70/100: 135°C±5°C,</w:t>
      </w:r>
    </w:p>
    <w:p w:rsidR="00CD292D" w:rsidRDefault="00CD292D" w:rsidP="00CD292D">
      <w:pPr>
        <w:ind w:left="360" w:hanging="303"/>
      </w:pPr>
      <w:r>
        <w:t>–</w:t>
      </w:r>
      <w:r>
        <w:rPr>
          <w:sz w:val="14"/>
          <w:szCs w:val="14"/>
        </w:rPr>
        <w:t xml:space="preserve">      </w:t>
      </w:r>
      <w:r>
        <w:t>MG 50/70-54/64: 140</w:t>
      </w:r>
      <w:r>
        <w:rPr>
          <w:color w:val="000000"/>
          <w:spacing w:val="1"/>
        </w:rPr>
        <w:t>°</w:t>
      </w:r>
      <w:r>
        <w:t>C</w:t>
      </w:r>
      <w:r>
        <w:rPr>
          <w:color w:val="000000"/>
          <w:spacing w:val="1"/>
        </w:rPr>
        <w:t>±5°C,</w:t>
      </w:r>
      <w:r>
        <w:t xml:space="preserve"> </w:t>
      </w:r>
    </w:p>
    <w:p w:rsidR="00CD292D" w:rsidRDefault="00CD292D" w:rsidP="00CD292D">
      <w:pPr>
        <w:ind w:left="360" w:hanging="303"/>
      </w:pPr>
      <w:r>
        <w:t>–</w:t>
      </w:r>
      <w:r>
        <w:rPr>
          <w:sz w:val="14"/>
          <w:szCs w:val="14"/>
        </w:rPr>
        <w:t xml:space="preserve">      </w:t>
      </w:r>
      <w:r>
        <w:t>PMB 45/80 – 55, PMB 45/80-65, PMB 45/80-80: 145</w:t>
      </w:r>
      <w:r>
        <w:rPr>
          <w:color w:val="000000"/>
          <w:spacing w:val="1"/>
        </w:rPr>
        <w:t>°</w:t>
      </w:r>
      <w:r>
        <w:t>C</w:t>
      </w:r>
      <w:r>
        <w:rPr>
          <w:color w:val="000000"/>
          <w:spacing w:val="1"/>
        </w:rPr>
        <w:t xml:space="preserve">±5°C. </w:t>
      </w:r>
    </w:p>
    <w:p w:rsidR="00CD292D" w:rsidRDefault="00CD292D" w:rsidP="00CD292D">
      <w:pPr>
        <w:ind w:firstLine="709"/>
      </w:pPr>
      <w:r>
        <w:t xml:space="preserve">Recepta powinna być zaprojektowana dla konkretnych materiałów, zaakceptowanych przez Inżyniera, do wbudowania i przy wykorzystaniu reprezentatywnych próbek tych materiałów.  </w:t>
      </w:r>
    </w:p>
    <w:p w:rsidR="00CD292D" w:rsidRDefault="00CD292D" w:rsidP="00CD292D">
      <w:pPr>
        <w:ind w:firstLine="709"/>
      </w:pPr>
      <w:r>
        <w:t>Jeżeli mieszanka mineralno-asfaltowa jest dostarczana z kilku wytwórni lub od kilku producentów, to należy zapewnić zgodność typu i wymiaru mieszanki oraz spełnienie wymaganej dokumentacji projektowej.</w:t>
      </w:r>
    </w:p>
    <w:p w:rsidR="00CD292D" w:rsidRDefault="00CD292D" w:rsidP="00CD292D">
      <w:pPr>
        <w:ind w:firstLine="709"/>
      </w:pPr>
      <w:r>
        <w:t xml:space="preserve">Każda zmiana składników mieszanki w czasie trwania robót wymaga akceptacji Inżyniera oraz opracowania nowej recepty i jej zatwierdzenia.  </w:t>
      </w:r>
    </w:p>
    <w:p w:rsidR="00CD292D" w:rsidRDefault="00CD292D" w:rsidP="00CD292D">
      <w:pPr>
        <w:ind w:firstLine="709"/>
      </w:pPr>
      <w:r>
        <w:t xml:space="preserve">Podczas ustalania składu mieszanki Wykonawca powinien zadbać, aby projektowana recepta laboratoryjna opierała się na prawidłowych i w pełni reprezentatywnych próbkach materiałów, które </w:t>
      </w:r>
      <w:r>
        <w:lastRenderedPageBreak/>
        <w:t xml:space="preserve">będą stosowane do wykonania robót. Powinien także zapewnić, aby mieszanka i jej poszczególne składniki spełniały wymagania dotyczące cech fizycznych i wytrzymałościowych określonych w niniejszej specyfikacji. </w:t>
      </w:r>
    </w:p>
    <w:p w:rsidR="00CD292D" w:rsidRDefault="00CD292D" w:rsidP="00CD292D">
      <w:pPr>
        <w:ind w:firstLine="709"/>
      </w:pPr>
      <w: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CD292D" w:rsidRDefault="00CD292D" w:rsidP="00CD292D">
      <w:pPr>
        <w:ind w:firstLine="709"/>
      </w:pPr>
      <w:r>
        <w:t>Zaakceptowana recepta stanowi ważną podstawę produkcji.</w:t>
      </w:r>
    </w:p>
    <w:p w:rsidR="00CD292D" w:rsidRDefault="00CD292D" w:rsidP="00CD292D">
      <w:pPr>
        <w:pStyle w:val="Nagwek2"/>
        <w:rPr>
          <w:rFonts w:eastAsia="Times New Roman"/>
        </w:rPr>
      </w:pPr>
      <w:r>
        <w:rPr>
          <w:rFonts w:eastAsia="Times New Roman"/>
        </w:rPr>
        <w:t>5.3. Wytwarzanie mieszanki mineralno-asfaltowej</w:t>
      </w:r>
    </w:p>
    <w:p w:rsidR="00CD292D" w:rsidRDefault="00CD292D" w:rsidP="00CD292D">
      <w:pPr>
        <w:rPr>
          <w:rFonts w:eastAsiaTheme="minorEastAsia"/>
        </w:rPr>
      </w:pPr>
      <w: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noBreakHyphen/>
        <w:t xml:space="preserve">EN 13108-21 [53]. </w:t>
      </w:r>
    </w:p>
    <w:p w:rsidR="00CD292D" w:rsidRDefault="00CD292D" w:rsidP="00CD292D">
      <w: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CD292D" w:rsidRDefault="00CD292D" w:rsidP="00CD292D">
      <w:r>
        <w:t>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w:t>
      </w:r>
    </w:p>
    <w:p w:rsidR="00CD292D" w:rsidRDefault="00CD292D" w:rsidP="00CD292D">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CD292D" w:rsidRDefault="00CD292D" w:rsidP="00CD292D">
      <w:pPr>
        <w:keepNext/>
        <w:spacing w:before="120" w:after="120"/>
      </w:pPr>
      <w: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CD292D" w:rsidTr="00CD292D">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Temperatura mieszanki [°C]</w:t>
            </w:r>
          </w:p>
        </w:tc>
      </w:tr>
      <w:tr w:rsidR="00CD292D" w:rsidTr="00CD292D">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rPr>
                <w:lang w:val="en-US"/>
              </w:rPr>
            </w:pPr>
            <w:r>
              <w:rPr>
                <w:lang w:val="en-US"/>
              </w:rPr>
              <w:t>Asfalt 50/70</w:t>
            </w:r>
          </w:p>
          <w:p w:rsidR="00CD292D" w:rsidRDefault="00CD292D">
            <w:pPr>
              <w:spacing w:before="60"/>
              <w:ind w:firstLine="12"/>
              <w:jc w:val="center"/>
              <w:rPr>
                <w:lang w:val="en-US"/>
              </w:rPr>
            </w:pPr>
            <w:r>
              <w:rPr>
                <w:lang w:val="en-US"/>
              </w:rPr>
              <w:t>Asfalt 70/100</w:t>
            </w:r>
          </w:p>
          <w:p w:rsidR="00CD292D" w:rsidRDefault="00CD292D">
            <w:pPr>
              <w:spacing w:before="60"/>
              <w:jc w:val="center"/>
              <w:rPr>
                <w:lang w:val="en-US"/>
              </w:rPr>
            </w:pPr>
            <w:r>
              <w:rPr>
                <w:lang w:val="en-US"/>
              </w:rPr>
              <w:t>PMB 45/80-55</w:t>
            </w:r>
          </w:p>
          <w:p w:rsidR="00CD292D" w:rsidRDefault="00CD292D">
            <w:pPr>
              <w:spacing w:before="60"/>
              <w:jc w:val="center"/>
              <w:rPr>
                <w:lang w:val="en-US"/>
              </w:rPr>
            </w:pPr>
            <w:r>
              <w:rPr>
                <w:lang w:val="en-US"/>
              </w:rPr>
              <w:t>PMB 45/80-65</w:t>
            </w:r>
          </w:p>
          <w:p w:rsidR="00CD292D" w:rsidRDefault="00CD292D">
            <w:pPr>
              <w:spacing w:before="60"/>
              <w:jc w:val="center"/>
              <w:rPr>
                <w:lang w:val="en-US"/>
              </w:rPr>
            </w:pPr>
            <w:r>
              <w:rPr>
                <w:lang w:val="en-US"/>
              </w:rPr>
              <w:t>PMB 45/80-80</w:t>
            </w:r>
          </w:p>
          <w:p w:rsidR="00CD292D" w:rsidRDefault="00CD292D">
            <w:pPr>
              <w:spacing w:before="60"/>
              <w:jc w:val="center"/>
            </w:pPr>
            <w:r>
              <w:rPr>
                <w:lang w:val="en-US"/>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od 140 do 180</w:t>
            </w:r>
          </w:p>
          <w:p w:rsidR="00CD292D" w:rsidRDefault="00CD292D">
            <w:pPr>
              <w:spacing w:before="60"/>
              <w:jc w:val="center"/>
            </w:pPr>
            <w:r>
              <w:t>od 140 do 180</w:t>
            </w:r>
          </w:p>
          <w:p w:rsidR="00CD292D" w:rsidRDefault="00CD292D">
            <w:pPr>
              <w:spacing w:before="60"/>
              <w:jc w:val="center"/>
            </w:pPr>
            <w:r>
              <w:t>wg wskazań producenta</w:t>
            </w:r>
          </w:p>
          <w:p w:rsidR="00CD292D" w:rsidRDefault="00CD292D">
            <w:pPr>
              <w:spacing w:before="60"/>
              <w:jc w:val="center"/>
            </w:pPr>
            <w:r>
              <w:t>wg wskazań producenta</w:t>
            </w:r>
          </w:p>
          <w:p w:rsidR="00CD292D" w:rsidRDefault="00CD292D">
            <w:pPr>
              <w:spacing w:before="60"/>
              <w:jc w:val="center"/>
            </w:pPr>
            <w:r>
              <w:t>wg wskazań producenta</w:t>
            </w:r>
          </w:p>
          <w:p w:rsidR="00CD292D" w:rsidRDefault="00CD292D">
            <w:pPr>
              <w:spacing w:before="60"/>
              <w:jc w:val="center"/>
            </w:pPr>
            <w:r>
              <w:t>wg wskazań producenta</w:t>
            </w:r>
          </w:p>
        </w:tc>
      </w:tr>
    </w:tbl>
    <w:p w:rsidR="00CD292D" w:rsidRDefault="00CD292D" w:rsidP="00CD292D">
      <w:pPr>
        <w:spacing w:before="120"/>
        <w:ind w:firstLine="709"/>
        <w:rPr>
          <w:rFonts w:eastAsiaTheme="minorEastAsia"/>
        </w:rPr>
      </w:pPr>
      <w:r>
        <w:lastRenderedPageBreak/>
        <w:t>Podana temperatura nie znajduje zastosowania do mieszanek mineralno-asfaltowych, do których jest dodawany dodatek w celu obniżenia temperatury jej wytwarzania i wbudowania lub gdy stosowane lepiszcze asfaltowe zawiera taki środek.</w:t>
      </w:r>
    </w:p>
    <w:p w:rsidR="00CD292D" w:rsidRDefault="00CD292D" w:rsidP="00CD292D">
      <w:r>
        <w:t>            Sposób i czas mieszania składników mieszanki mineralno-asfaltowej powinny zapewnić równomierne otoczenie kruszywa lepiszczem asfaltowym.</w:t>
      </w:r>
    </w:p>
    <w:p w:rsidR="00CD292D" w:rsidRDefault="00CD292D" w:rsidP="00CD292D">
      <w:pPr>
        <w:ind w:firstLine="709"/>
      </w:pPr>
      <w: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CD292D" w:rsidRDefault="00CD292D" w:rsidP="00CD292D">
      <w:pPr>
        <w:ind w:firstLine="709"/>
      </w:pPr>
      <w: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rsidR="00CD292D" w:rsidRDefault="00CD292D" w:rsidP="00CD292D">
      <w:pPr>
        <w:ind w:firstLine="709"/>
      </w:pPr>
      <w:r>
        <w:t xml:space="preserve">Produkcja powinna być tak zaplanowana, aby nie dopuścić do zbyt długiego przechowywania mieszanki w silosach; należy wykluczyć możliwość szkodliwych zmian. </w:t>
      </w:r>
    </w:p>
    <w:p w:rsidR="00CD292D" w:rsidRDefault="00CD292D" w:rsidP="00CD292D">
      <w:pPr>
        <w:ind w:firstLine="709"/>
      </w:pPr>
      <w:r>
        <w:t xml:space="preserve">Czas przechowywania – magazynowania mieszanki  MMA powinien uwzględniać możliwości wytwórni (sposób podgrzewania silosów gotowej mieszanki MMA i rodzaj izolacji), warunki atmosferyczne  oraz czas transportu na budowę. </w:t>
      </w:r>
    </w:p>
    <w:p w:rsidR="00CD292D" w:rsidRDefault="00CD292D" w:rsidP="00CD292D">
      <w:pPr>
        <w:pStyle w:val="Nagwek2"/>
        <w:rPr>
          <w:rFonts w:eastAsia="Times New Roman"/>
        </w:rPr>
      </w:pPr>
      <w:r>
        <w:rPr>
          <w:rFonts w:eastAsia="Times New Roman"/>
        </w:rPr>
        <w:t>5.4. Przygotowanie podłoża</w:t>
      </w:r>
    </w:p>
    <w:p w:rsidR="00CD292D" w:rsidRDefault="00CD292D" w:rsidP="00CD292D">
      <w:pPr>
        <w:rPr>
          <w:rFonts w:eastAsiaTheme="minorEastAsia"/>
        </w:rPr>
      </w:pPr>
      <w:r>
        <w:t>            Podłoże (warstwa wyrównawcza, warstwa wiążąca lub stara warstwa ścieralna) pod warstwę ścieralną z betonu asfaltowego powinno być na całej powierzchni:</w:t>
      </w:r>
    </w:p>
    <w:p w:rsidR="00CD292D" w:rsidRDefault="00CD292D" w:rsidP="00CD292D">
      <w:pPr>
        <w:ind w:left="397" w:hanging="397"/>
      </w:pPr>
      <w:r>
        <w:t>–</w:t>
      </w:r>
      <w:r>
        <w:rPr>
          <w:sz w:val="14"/>
          <w:szCs w:val="14"/>
        </w:rPr>
        <w:t xml:space="preserve">         </w:t>
      </w:r>
      <w:r>
        <w:t>ustabilizowane i nośne,</w:t>
      </w:r>
    </w:p>
    <w:p w:rsidR="00CD292D" w:rsidRDefault="00CD292D" w:rsidP="00CD292D">
      <w:pPr>
        <w:ind w:left="397" w:hanging="397"/>
      </w:pPr>
      <w:r>
        <w:t>–</w:t>
      </w:r>
      <w:r>
        <w:rPr>
          <w:sz w:val="14"/>
          <w:szCs w:val="14"/>
        </w:rPr>
        <w:t xml:space="preserve">         </w:t>
      </w:r>
      <w:r>
        <w:t>czyste, bez zanieczyszczenia lub pozostałości luźnego kruszywa,</w:t>
      </w:r>
    </w:p>
    <w:p w:rsidR="00CD292D" w:rsidRDefault="00CD292D" w:rsidP="00CD292D">
      <w:pPr>
        <w:ind w:left="397" w:hanging="397"/>
      </w:pPr>
      <w:r>
        <w:t>–</w:t>
      </w:r>
      <w:r>
        <w:rPr>
          <w:sz w:val="14"/>
          <w:szCs w:val="14"/>
        </w:rPr>
        <w:t xml:space="preserve">         </w:t>
      </w:r>
      <w:r>
        <w:t>wyprofilowane, równe i bez kolein,</w:t>
      </w:r>
    </w:p>
    <w:p w:rsidR="00CD292D" w:rsidRDefault="00CD292D" w:rsidP="00CD292D">
      <w:pPr>
        <w:ind w:left="397" w:hanging="397"/>
      </w:pPr>
      <w:r>
        <w:t>–</w:t>
      </w:r>
      <w:r>
        <w:rPr>
          <w:sz w:val="14"/>
          <w:szCs w:val="14"/>
        </w:rPr>
        <w:t xml:space="preserve">         </w:t>
      </w:r>
      <w:r>
        <w:t>suche.</w:t>
      </w:r>
    </w:p>
    <w:p w:rsidR="00CD292D" w:rsidRDefault="00CD292D" w:rsidP="00CD292D">
      <w:r>
        <w:t>            Rzędne wysokościowe podłoża oraz urządzeń usytuowanych w nawierzchni lub ją ograniczających powinny być zgodne z dokumentacją projektową. Z podłoża powinien być zapewniony odpływ wody.</w:t>
      </w:r>
    </w:p>
    <w:p w:rsidR="00CD292D" w:rsidRDefault="00CD292D" w:rsidP="00CD292D">
      <w:r>
        <w:t>            Oznakowanie poziome na warstwie podłoża należy usunąć.</w:t>
      </w:r>
    </w:p>
    <w:p w:rsidR="00CD292D" w:rsidRDefault="00CD292D" w:rsidP="00CD292D">
      <w: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rsidR="00CD292D" w:rsidRDefault="00CD292D" w:rsidP="00CD292D">
      <w:pPr>
        <w:spacing w:before="240" w:after="120"/>
      </w:pPr>
      <w: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CD292D" w:rsidTr="00CD292D">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Dopuszczalne wartości odchyleń równości podłużnej i poprzecznej pod warstwę ścieralną [mm]</w:t>
            </w:r>
          </w:p>
        </w:tc>
      </w:tr>
      <w:tr w:rsidR="00CD292D" w:rsidTr="00CD292D">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Pasy ruchu zasadnicze, awaryjne, dodatkowe, </w:t>
            </w:r>
          </w:p>
          <w:p w:rsidR="00CD292D" w:rsidRDefault="00CD292D">
            <w:r>
              <w:t xml:space="preserve">włączenia i wyłączenia, jezdnie łącznic, </w:t>
            </w:r>
          </w:p>
          <w:p w:rsidR="00CD292D" w:rsidRDefault="00CD292D">
            <w: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p w:rsidR="00CD292D" w:rsidRDefault="00CD292D">
            <w:pPr>
              <w:jc w:val="center"/>
            </w:pPr>
            <w:r>
              <w:t>6</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Pasy ruchu zasadnicze, </w:t>
            </w:r>
          </w:p>
          <w:p w:rsidR="00CD292D" w:rsidRDefault="00CD292D">
            <w:r>
              <w:t xml:space="preserve">dodatkowe, włączenia </w:t>
            </w:r>
          </w:p>
          <w:p w:rsidR="00CD292D" w:rsidRDefault="00CD292D">
            <w:r>
              <w:t xml:space="preserve">i wyłączenia, postojowe, </w:t>
            </w:r>
          </w:p>
          <w:p w:rsidR="00CD292D" w:rsidRDefault="00CD292D">
            <w: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Wszystkie pasy ruchu </w:t>
            </w:r>
          </w:p>
          <w:p w:rsidR="00CD292D" w:rsidRDefault="00CD292D">
            <w:r>
              <w:t xml:space="preserve">i powierzchnie </w:t>
            </w:r>
          </w:p>
          <w:p w:rsidR="00CD292D" w:rsidRDefault="00CD292D">
            <w:r>
              <w:t xml:space="preserve">przeznaczone do ruchu </w:t>
            </w:r>
          </w:p>
          <w:p w:rsidR="00CD292D" w:rsidRDefault="00CD292D">
            <w: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r>
    </w:tbl>
    <w:p w:rsidR="00CD292D" w:rsidRDefault="00CD292D" w:rsidP="00CD292D">
      <w:pPr>
        <w:rPr>
          <w:rFonts w:eastAsiaTheme="minorEastAsia"/>
        </w:rPr>
      </w:pPr>
      <w:r>
        <w:rPr>
          <w:rFonts w:ascii="Arial" w:hAnsi="Arial" w:cs="Arial"/>
          <w:sz w:val="18"/>
          <w:szCs w:val="18"/>
        </w:rPr>
        <w:t> </w:t>
      </w:r>
    </w:p>
    <w:p w:rsidR="00CD292D" w:rsidRDefault="00CD292D" w:rsidP="00CD292D">
      <w:r>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CD292D" w:rsidRDefault="00CD292D" w:rsidP="00CD292D">
      <w:r>
        <w:t>            W celu polepszenia połączenia między warstwami technologicznymi nawierzchni powierzchnia podłoża powinna być w ocenie wizualnej chropowata.</w:t>
      </w:r>
    </w:p>
    <w:p w:rsidR="00CD292D" w:rsidRDefault="00CD292D" w:rsidP="00CD292D">
      <w:r>
        <w:t>            Szerokie szczeliny w podłożu należy wypełnić odpowiednim materiałem, np. zalewami drogowymi według PN-EN 14188-1 [65] lub PN-EN 14188-2 [66] albo innymi materiałami według norm lub aprobat technicznych.</w:t>
      </w:r>
    </w:p>
    <w:p w:rsidR="00CD292D" w:rsidRDefault="00CD292D" w:rsidP="00CD292D">
      <w: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CD292D" w:rsidRDefault="00CD292D" w:rsidP="00CD292D">
      <w:pPr>
        <w:ind w:firstLine="709"/>
      </w:pPr>
      <w:r>
        <w:t>Przygotowanie podłoża do skropienia emulsją należy wykonać zgodnie z OST D-04.03.01a [2].</w:t>
      </w:r>
    </w:p>
    <w:p w:rsidR="00CD292D" w:rsidRDefault="00CD292D" w:rsidP="00CD292D">
      <w:pPr>
        <w:pStyle w:val="Nagwek2"/>
        <w:rPr>
          <w:rFonts w:eastAsia="Times New Roman"/>
        </w:rPr>
      </w:pPr>
      <w:r>
        <w:rPr>
          <w:rFonts w:eastAsia="Times New Roman"/>
        </w:rPr>
        <w:t>5.5. Próba technologiczna</w:t>
      </w:r>
    </w:p>
    <w:p w:rsidR="00CD292D" w:rsidRDefault="00CD292D" w:rsidP="00CD292D">
      <w:pPr>
        <w:rPr>
          <w:rFonts w:eastAsiaTheme="minorEastAsia"/>
        </w:rPr>
      </w:pPr>
      <w: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CD292D" w:rsidRDefault="00CD292D" w:rsidP="00CD292D">
      <w:r>
        <w:t>            Nie dopuszcza się oceniania dokładności pracy otaczarki oraz prawidłowości składu mieszanki mineralnej na podstawie tzw. suchego zarobu, z uwagi na możliwą segregację kruszywa.</w:t>
      </w:r>
    </w:p>
    <w:p w:rsidR="00CD292D" w:rsidRDefault="00CD292D" w:rsidP="00CD292D">
      <w:pPr>
        <w:ind w:firstLine="709"/>
      </w:pPr>
      <w:r>
        <w:lastRenderedPageBreak/>
        <w:t xml:space="preserve">Do próby technologicznej Wykonawca użyje takich materiałów, jakie będą stosowane do wykonania właściwej mieszanki mineralno-asfaltowej. </w:t>
      </w:r>
    </w:p>
    <w:p w:rsidR="00CD292D" w:rsidRDefault="00CD292D" w:rsidP="00CD292D">
      <w:pPr>
        <w:ind w:firstLine="709"/>
      </w:pPr>
      <w: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CD292D" w:rsidRDefault="00CD292D" w:rsidP="00CD292D">
      <w:pPr>
        <w:ind w:firstLine="709"/>
      </w:pPr>
      <w: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CD292D" w:rsidRDefault="00CD292D" w:rsidP="00CD292D">
      <w:r>
        <w:t>            Mieszankę wyprodukowaną po ustabilizowaniu się pracy otaczarki należy zgromadzić w silosie lub załadować na samochód. Próbki do badań należy pobierać ze skrzyni samochodu zgodnie z metodą określoną w PN-EN 12697-27 [43].</w:t>
      </w:r>
    </w:p>
    <w:p w:rsidR="00CD292D" w:rsidRDefault="00CD292D" w:rsidP="00CD292D">
      <w:r>
        <w:t>            Na podstawie uzyskanych wyników Inżynier podejmuje decyzję o wykonaniu odcinka próbnego.</w:t>
      </w:r>
    </w:p>
    <w:p w:rsidR="00CD292D" w:rsidRDefault="00CD292D" w:rsidP="00CD292D">
      <w:pPr>
        <w:pStyle w:val="Nagwek2"/>
        <w:rPr>
          <w:rFonts w:eastAsia="Times New Roman"/>
        </w:rPr>
      </w:pPr>
      <w:r>
        <w:rPr>
          <w:rFonts w:eastAsia="Times New Roman"/>
        </w:rPr>
        <w:t>5.6. Odcinek próbny</w:t>
      </w:r>
    </w:p>
    <w:p w:rsidR="00CD292D" w:rsidRDefault="00CD292D" w:rsidP="00CD292D">
      <w:pPr>
        <w:ind w:firstLine="709"/>
        <w:rPr>
          <w:rFonts w:eastAsiaTheme="minorEastAsia"/>
        </w:rPr>
      </w:pPr>
      <w: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rsidR="00CD292D" w:rsidRDefault="00CD292D" w:rsidP="00CD292D">
      <w:pPr>
        <w:ind w:firstLine="709"/>
      </w:pPr>
      <w:r>
        <w:t>W przypadku braku innych uzgodnień z Inżynierem, Wykonawca powinien wykonać odcinek próbny co najmniej na trzy dni przed rozpoczęciem robót, w celu:</w:t>
      </w:r>
    </w:p>
    <w:p w:rsidR="00CD292D" w:rsidRDefault="00CD292D" w:rsidP="00CD292D">
      <w:pPr>
        <w:pStyle w:val="Akapitzlist"/>
        <w:spacing w:before="0" w:after="0"/>
        <w:ind w:left="454" w:hanging="397"/>
      </w:pPr>
      <w:r>
        <w:t>–</w:t>
      </w:r>
      <w:r>
        <w:rPr>
          <w:sz w:val="14"/>
          <w:szCs w:val="14"/>
        </w:rPr>
        <w:t xml:space="preserve">         </w:t>
      </w:r>
      <w:r>
        <w:t>sprawdzenia czy użyty sprzęt jest właściwy,</w:t>
      </w:r>
    </w:p>
    <w:p w:rsidR="00CD292D" w:rsidRDefault="00CD292D" w:rsidP="00CD292D">
      <w:pPr>
        <w:pStyle w:val="Akapitzlist"/>
        <w:spacing w:before="0" w:after="0"/>
        <w:ind w:left="454" w:hanging="397"/>
      </w:pPr>
      <w:r>
        <w:t>–</w:t>
      </w:r>
      <w:r>
        <w:rPr>
          <w:sz w:val="14"/>
          <w:szCs w:val="14"/>
        </w:rPr>
        <w:t xml:space="preserve">         </w:t>
      </w:r>
      <w:r>
        <w:t>określenia grubości warstwy mieszanki mineralno-asfaltowej przed zagęszczeniem, koniecznej do uzyskania wymaganej w kontrakcie grubości warstwy,</w:t>
      </w:r>
    </w:p>
    <w:p w:rsidR="00CD292D" w:rsidRDefault="00CD292D" w:rsidP="00CD292D">
      <w:pPr>
        <w:pStyle w:val="Akapitzlist"/>
        <w:spacing w:before="0" w:after="0"/>
        <w:ind w:left="454" w:hanging="397"/>
      </w:pPr>
      <w:r>
        <w:t>–</w:t>
      </w:r>
      <w:r>
        <w:rPr>
          <w:sz w:val="14"/>
          <w:szCs w:val="14"/>
        </w:rPr>
        <w:t xml:space="preserve">         </w:t>
      </w:r>
      <w:r>
        <w:t>określenia potrzebnej liczby przejść walców dla uzyskania prawidłowego zagęszczenia warstwy.</w:t>
      </w:r>
    </w:p>
    <w:p w:rsidR="00CD292D" w:rsidRDefault="00CD292D" w:rsidP="00CD292D">
      <w:pPr>
        <w:ind w:firstLine="709"/>
      </w:pPr>
      <w:r>
        <w:t xml:space="preserve">Do takiej próby Wykonawca powinien użyć takich materiałów oraz sprzętu, jaki stosowany będzie do wykonania warstwy nawierzchni. </w:t>
      </w:r>
    </w:p>
    <w:p w:rsidR="00CD292D" w:rsidRDefault="00CD292D" w:rsidP="00CD292D">
      <w:r>
        <w:t>            Odcinek próbny powinien być zlokalizowany w miejscu uzgodnionym z Inżynierem. Powierzchnia odcinka próbnego powinna wynosić co najmniej 500 m</w:t>
      </w:r>
      <w:r>
        <w:rPr>
          <w:vertAlign w:val="superscript"/>
        </w:rPr>
        <w:t>2</w:t>
      </w:r>
      <w:r>
        <w:t>, a długość co najmniej 50 m i powinny być tak dobrane, aby na jego podstawie możliwa była ocena prawidłowości wbudowania i zagęszczenia mieszanki mineralno-asfaltowej.</w:t>
      </w:r>
    </w:p>
    <w:p w:rsidR="00CD292D" w:rsidRDefault="00CD292D" w:rsidP="00CD292D">
      <w:pPr>
        <w:ind w:firstLine="709"/>
      </w:pPr>
      <w: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CD292D" w:rsidRDefault="00CD292D" w:rsidP="00CD292D">
      <w:pPr>
        <w:ind w:firstLine="709"/>
      </w:pPr>
      <w:r>
        <w:t>Dopuszcza się, aby za zgodą Inżyniera, odcinek próbny zlokalizowany był w ciągu zasadniczych prac nawierzchniowych objętych danym kontraktem.</w:t>
      </w:r>
    </w:p>
    <w:p w:rsidR="00CD292D" w:rsidRDefault="00CD292D" w:rsidP="00CD292D">
      <w:r>
        <w:lastRenderedPageBreak/>
        <w:t>            Wykonawca może przystąpić do realizacji robót po zaakceptowaniu przez Inżyniera technologii wbudowania oraz wyników z odcinka próbnego.</w:t>
      </w:r>
    </w:p>
    <w:p w:rsidR="00CD292D" w:rsidRDefault="00CD292D" w:rsidP="00CD292D">
      <w:pPr>
        <w:pStyle w:val="Nagwek2"/>
        <w:rPr>
          <w:rFonts w:eastAsia="Times New Roman"/>
        </w:rPr>
      </w:pPr>
      <w:r>
        <w:rPr>
          <w:rFonts w:eastAsia="Times New Roman"/>
        </w:rPr>
        <w:t>5.7. Połączenie międzywarstwowe</w:t>
      </w:r>
    </w:p>
    <w:p w:rsidR="00CD292D" w:rsidRDefault="00CD292D" w:rsidP="00CD292D">
      <w:pPr>
        <w:rPr>
          <w:rFonts w:eastAsiaTheme="minorEastAsia"/>
        </w:rPr>
      </w:pPr>
      <w:r>
        <w:t>            Uzyskanie wymaganej trwałości nawierzchni jest uzależnione od zapewnienia połączenia między warstwami i ich współpracy w przenoszeniu obciążenia nawierzchni ruchem.</w:t>
      </w:r>
    </w:p>
    <w:p w:rsidR="00CD292D" w:rsidRDefault="00CD292D" w:rsidP="00CD292D">
      <w:r>
        <w:t>            Podłoże powinno być skropione lepiszczem. Ma to na celu zwiększenie połączenia między warstwami konstrukcyjnymi oraz zabezpieczenie przed wnikaniem i zaleganiem wody między warstwami.</w:t>
      </w:r>
    </w:p>
    <w:p w:rsidR="00CD292D" w:rsidRDefault="00CD292D" w:rsidP="00CD292D">
      <w:pPr>
        <w:ind w:firstLine="397"/>
      </w:pPr>
      <w:r>
        <w:t>Można odstąpić od wykonania skropienia przy rozkładaniu dwóch warstw asfaltowych w jednym cyklu technologicznym (tzw. połączenia gorące na gorące)</w:t>
      </w:r>
    </w:p>
    <w:p w:rsidR="00CD292D" w:rsidRDefault="00CD292D" w:rsidP="00CD292D">
      <w:r>
        <w:t>            Warunki wykonania połączenia międzywarstwowego oraz kontrola wykonania skropienia zostały przedstawione w OST D-04.03.01a [2].</w:t>
      </w:r>
    </w:p>
    <w:p w:rsidR="00CD292D" w:rsidRDefault="00CD292D" w:rsidP="00CD292D">
      <w:pPr>
        <w:pStyle w:val="Nagwek2"/>
        <w:rPr>
          <w:rFonts w:eastAsia="Times New Roman"/>
        </w:rPr>
      </w:pPr>
      <w:r>
        <w:rPr>
          <w:rFonts w:eastAsia="Times New Roman"/>
        </w:rPr>
        <w:t>5.8. Wbudowanie mieszanki mineralno-asfaltowej</w:t>
      </w:r>
    </w:p>
    <w:p w:rsidR="00CD292D" w:rsidRDefault="00CD292D" w:rsidP="00CD292D">
      <w:pPr>
        <w:ind w:firstLine="709"/>
        <w:rPr>
          <w:rFonts w:eastAsiaTheme="minorEastAsia"/>
        </w:rPr>
      </w:pPr>
      <w:r>
        <w:t>Przy doborze rodzaju mieszanki mineralno-asfaltowej do układu warstw konstrukcyjnych należy zachować zasadę mówiącą, że grubość warstwy musi być co najmniej dwuipółkrotnie większa od wymiaru D kruszywa danej mieszanki (h ≥ 2,5×D).</w:t>
      </w:r>
    </w:p>
    <w:p w:rsidR="00CD292D" w:rsidRDefault="00CD292D" w:rsidP="00CD292D">
      <w:pPr>
        <w:ind w:firstLine="709"/>
      </w:pPr>
      <w: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CD292D" w:rsidRDefault="00CD292D" w:rsidP="00CD292D">
      <w:r>
        <w:t>            Mieszankę mineralno-asfaltową można wbudowywać na podłożu przygotowanym zgodnie z zapisami w punktach 5.4 i 5.7.</w:t>
      </w:r>
    </w:p>
    <w:p w:rsidR="00CD292D" w:rsidRDefault="00CD292D" w:rsidP="00CD292D">
      <w:r>
        <w:t xml:space="preserve">            Transport mieszanki mineralno-asfaltowej asfaltowej powinien być zgodny z zaleceniami podanymi w punkcie 4.2. </w:t>
      </w:r>
    </w:p>
    <w:p w:rsidR="00CD292D" w:rsidRDefault="00CD292D" w:rsidP="00CD292D">
      <w:pPr>
        <w:ind w:firstLine="709"/>
      </w:pPr>
      <w:r>
        <w:t xml:space="preserve">Prace związane z wbudowaniem mieszanki mineralno-asfaltowej należy tak zaplanować, </w:t>
      </w:r>
    </w:p>
    <w:p w:rsidR="00CD292D" w:rsidRDefault="00CD292D" w:rsidP="00CD292D">
      <w:r>
        <w:t xml:space="preserve">aby: </w:t>
      </w:r>
    </w:p>
    <w:p w:rsidR="00CD292D" w:rsidRDefault="00CD292D" w:rsidP="00CD292D">
      <w:pPr>
        <w:ind w:left="284" w:hanging="218"/>
      </w:pPr>
      <w:r>
        <w:rPr>
          <w:sz w:val="16"/>
          <w:szCs w:val="16"/>
        </w:rPr>
        <w:t>–</w:t>
      </w:r>
      <w:r>
        <w:rPr>
          <w:sz w:val="14"/>
          <w:szCs w:val="14"/>
        </w:rPr>
        <w:t xml:space="preserve">     </w:t>
      </w:r>
      <w: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CD292D" w:rsidRDefault="00CD292D" w:rsidP="00CD292D">
      <w:pPr>
        <w:ind w:left="284" w:hanging="218"/>
      </w:pPr>
      <w:r>
        <w:rPr>
          <w:sz w:val="16"/>
          <w:szCs w:val="16"/>
        </w:rPr>
        <w:t>–</w:t>
      </w:r>
      <w:r>
        <w:rPr>
          <w:sz w:val="14"/>
          <w:szCs w:val="14"/>
        </w:rPr>
        <w:t xml:space="preserve">     </w:t>
      </w:r>
      <w:r>
        <w:t xml:space="preserve">dzienne działki robocze (tj. odcinki nawierzchni na których mieszanka mineralno-asfaltowa jest wbudowywana jednego dnia) powinny być możliwie jak najdłuższe min. 200 m, </w:t>
      </w:r>
    </w:p>
    <w:p w:rsidR="00CD292D" w:rsidRDefault="00CD292D" w:rsidP="00CD292D">
      <w:pPr>
        <w:ind w:left="284" w:hanging="218"/>
      </w:pPr>
      <w:r>
        <w:rPr>
          <w:sz w:val="16"/>
          <w:szCs w:val="16"/>
        </w:rPr>
        <w:t>–</w:t>
      </w:r>
      <w:r>
        <w:rPr>
          <w:sz w:val="14"/>
          <w:szCs w:val="14"/>
        </w:rPr>
        <w:t xml:space="preserve">     </w:t>
      </w:r>
      <w:r>
        <w:t xml:space="preserve">organizacja dostaw mieszanki powinna zapewnić pracę rozkładarki bez zatrzymań. </w:t>
      </w:r>
    </w:p>
    <w:p w:rsidR="00CD292D" w:rsidRDefault="00CD292D" w:rsidP="00CD292D">
      <w:r>
        <w:t>            Mieszankę mineralno-asfaltową asfaltową należy wbudowywać w odpowiednich warunkach atmosferycznych. Nie wolno wbudowywać betonu asfaltowego gdy na podłożu tworzy się zamknięty film wodny.</w:t>
      </w:r>
    </w:p>
    <w:p w:rsidR="00CD292D" w:rsidRDefault="00CD292D" w:rsidP="00CD292D">
      <w: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Pr>
          <w:color w:val="000000"/>
        </w:rPr>
        <w:t xml:space="preserve"> Temperatura powietrza powinna być mierzona co najmniej 3 razy </w:t>
      </w:r>
      <w:r>
        <w:rPr>
          <w:color w:val="000000"/>
        </w:rPr>
        <w:lastRenderedPageBreak/>
        <w:t xml:space="preserve">dziennie: przed przystąpieniem do robót oraz podczas ich wykonywania w okresach równomiernie rozłożonych w planowanym czasie realizacji dziennej działki roboczej. </w:t>
      </w:r>
      <w:r>
        <w:t xml:space="preserve">Nie dopuszcza się układania mieszanki mineralno-asfaltowej asfaltowej podczas silnego wiatru (V &gt; 16 m/s) oraz podczas opadów atmosferycznych. </w:t>
      </w:r>
    </w:p>
    <w:p w:rsidR="00CD292D" w:rsidRDefault="00CD292D" w:rsidP="00CD292D">
      <w:pPr>
        <w:ind w:firstLine="709"/>
      </w:pPr>
      <w:r>
        <w:t xml:space="preserve">Podczas budowy nawierzchni należy dążyć do ułożenia wszystkich warstw przed sezonem zimowym, aby zapewnić szczelność nawierzchni i jej odporność na działanie wody i mrozu.        </w:t>
      </w:r>
    </w:p>
    <w:p w:rsidR="00CD292D" w:rsidRDefault="00CD292D" w:rsidP="00CD292D">
      <w:pPr>
        <w:ind w:firstLine="709"/>
      </w:pPr>
      <w:r>
        <w:t xml:space="preserve">W wypadku stosowania mieszanek mineralno-asfaltowych z dodatkiem obniżającym temperaturę mieszania i wbudowania należy indywidualnie określić wymagane warunki otoczenia. </w:t>
      </w:r>
    </w:p>
    <w:p w:rsidR="00CD292D" w:rsidRDefault="00CD292D" w:rsidP="00CD292D">
      <w:pPr>
        <w:spacing w:before="120" w:after="120"/>
        <w:ind w:left="1200" w:hanging="1200"/>
      </w:pPr>
      <w: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CD292D" w:rsidTr="00CD292D">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Minimalna temperatura powietrza  [°C]</w:t>
            </w:r>
          </w:p>
        </w:tc>
      </w:tr>
      <w:tr w:rsidR="00CD292D" w:rsidTr="00CD292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+5</w:t>
            </w:r>
          </w:p>
        </w:tc>
      </w:tr>
      <w:tr w:rsidR="00CD292D" w:rsidTr="00CD292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w:t>
            </w:r>
          </w:p>
        </w:tc>
      </w:tr>
      <w:tr w:rsidR="00CD292D" w:rsidTr="00CD292D">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0</w:t>
            </w:r>
          </w:p>
        </w:tc>
      </w:tr>
    </w:tbl>
    <w:p w:rsidR="00CD292D" w:rsidRDefault="00CD292D" w:rsidP="00CD292D">
      <w:pPr>
        <w:spacing w:before="240"/>
        <w:ind w:firstLine="709"/>
        <w:rPr>
          <w:rFonts w:eastAsiaTheme="minorEastAsia"/>
        </w:rPr>
      </w:pPr>
      <w: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CD292D" w:rsidRDefault="00CD292D" w:rsidP="00CD292D">
      <w:pPr>
        <w:ind w:firstLine="709"/>
      </w:pPr>
      <w:r>
        <w:t>W miejscach niedostępnych dla sprzętu dopuszcza się wbudowywanie ręczne.</w:t>
      </w:r>
    </w:p>
    <w:p w:rsidR="00CD292D" w:rsidRDefault="00CD292D" w:rsidP="00CD292D">
      <w:r>
        <w:t>            Grubość wykonywanej warstwy powinna być sprawdzana co 25 m, w co najmniej trzech miejscach (w osi i przy brzegach warstwy).</w:t>
      </w:r>
    </w:p>
    <w:p w:rsidR="00CD292D" w:rsidRDefault="00CD292D" w:rsidP="00CD292D">
      <w: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CD292D" w:rsidRDefault="00CD292D" w:rsidP="00CD292D">
      <w:pPr>
        <w:ind w:firstLine="709"/>
      </w:pPr>
      <w:r>
        <w:t>Przy wykonywaniu nawierzchni dróg o kategorii KR6, do warstwy ścieralnej wymagane jest:</w:t>
      </w:r>
    </w:p>
    <w:p w:rsidR="00CD292D" w:rsidRDefault="00CD292D" w:rsidP="00CD292D">
      <w:pPr>
        <w:ind w:left="284" w:hanging="218"/>
      </w:pPr>
      <w:r>
        <w:rPr>
          <w:sz w:val="16"/>
          <w:szCs w:val="16"/>
        </w:rPr>
        <w:t>–</w:t>
      </w:r>
      <w:r>
        <w:rPr>
          <w:sz w:val="14"/>
          <w:szCs w:val="14"/>
        </w:rPr>
        <w:t xml:space="preserve">     </w:t>
      </w:r>
      <w:r>
        <w:t>stosowanie podajników mieszanki mineralno-asfaltowej do zasilania kosza rozkładarki z środków transportu,</w:t>
      </w:r>
    </w:p>
    <w:p w:rsidR="00CD292D" w:rsidRDefault="00CD292D" w:rsidP="00CD292D">
      <w:pPr>
        <w:ind w:left="284" w:hanging="218"/>
      </w:pPr>
      <w:r>
        <w:rPr>
          <w:sz w:val="16"/>
          <w:szCs w:val="16"/>
        </w:rPr>
        <w:t>–</w:t>
      </w:r>
      <w:r>
        <w:rPr>
          <w:sz w:val="14"/>
          <w:szCs w:val="14"/>
        </w:rPr>
        <w:t xml:space="preserve">     </w:t>
      </w:r>
      <w:r>
        <w:t>stosowanie rozkładarek wyposażonych w łatę o długości min. 10 m z co najmniej 3 czujnikami.</w:t>
      </w:r>
    </w:p>
    <w:p w:rsidR="00CD292D" w:rsidRDefault="00CD292D" w:rsidP="00CD292D">
      <w:pPr>
        <w:pStyle w:val="Nagwek2"/>
        <w:rPr>
          <w:rFonts w:eastAsia="Times New Roman"/>
        </w:rPr>
      </w:pPr>
      <w:r>
        <w:rPr>
          <w:rFonts w:eastAsia="Times New Roman"/>
        </w:rPr>
        <w:t>5.9. Połączenia technologiczne</w:t>
      </w:r>
    </w:p>
    <w:p w:rsidR="00CD292D" w:rsidRDefault="00CD292D" w:rsidP="00CD292D">
      <w:pPr>
        <w:ind w:firstLine="709"/>
        <w:rPr>
          <w:rFonts w:eastAsiaTheme="minorEastAsia"/>
        </w:rPr>
      </w:pPr>
      <w:r>
        <w:t>Połączenia technologiczne należy wykonywać jako:</w:t>
      </w:r>
    </w:p>
    <w:p w:rsidR="00CD292D" w:rsidRDefault="00CD292D" w:rsidP="00CD292D">
      <w:pPr>
        <w:ind w:left="454" w:hanging="397"/>
      </w:pPr>
      <w:r>
        <w:t>–</w:t>
      </w:r>
      <w:r>
        <w:rPr>
          <w:sz w:val="14"/>
          <w:szCs w:val="14"/>
        </w:rPr>
        <w:t xml:space="preserve">         </w:t>
      </w:r>
      <w:r>
        <w:t>złącza podłużne i poprzeczne (wg definicji punkt 1.4.15.),</w:t>
      </w:r>
    </w:p>
    <w:p w:rsidR="00CD292D" w:rsidRDefault="00CD292D" w:rsidP="00CD292D">
      <w:pPr>
        <w:ind w:left="454" w:hanging="397"/>
      </w:pPr>
      <w:r>
        <w:t>–</w:t>
      </w:r>
      <w:r>
        <w:rPr>
          <w:sz w:val="14"/>
          <w:szCs w:val="14"/>
        </w:rPr>
        <w:t xml:space="preserve">         </w:t>
      </w:r>
      <w:r>
        <w:t>spoiny (wg definicji punkt 1.4.16.).</w:t>
      </w:r>
    </w:p>
    <w:p w:rsidR="00CD292D" w:rsidRDefault="00CD292D" w:rsidP="00CD292D">
      <w:pPr>
        <w:ind w:firstLine="709"/>
      </w:pPr>
      <w:r>
        <w:t xml:space="preserve">Połączenia technologiczne powinny być jednorodne i szczelne.   </w:t>
      </w:r>
    </w:p>
    <w:p w:rsidR="00CD292D" w:rsidRDefault="00CD292D" w:rsidP="00CD292D">
      <w:pPr>
        <w:keepNext/>
        <w:spacing w:before="120" w:after="120"/>
      </w:pPr>
      <w:r>
        <w:rPr>
          <w:b/>
          <w:bCs/>
        </w:rPr>
        <w:lastRenderedPageBreak/>
        <w:t>5.9.1.</w:t>
      </w:r>
      <w:r>
        <w:t xml:space="preserve"> Wykonanie złączy</w:t>
      </w:r>
    </w:p>
    <w:p w:rsidR="00CD292D" w:rsidRDefault="00CD292D" w:rsidP="00CD292D">
      <w:pPr>
        <w:keepNext/>
        <w:spacing w:after="120"/>
      </w:pPr>
      <w:r>
        <w:t>5.9.1.1. Sposób wykonania złączy-wymagania ogólne</w:t>
      </w:r>
    </w:p>
    <w:p w:rsidR="00CD292D" w:rsidRDefault="00CD292D" w:rsidP="00CD292D">
      <w:pPr>
        <w:ind w:firstLine="709"/>
      </w:pPr>
      <w:r>
        <w:t>Złącza w warstwach nawierzchni powinny być wykonywane w linii prostej.</w:t>
      </w:r>
    </w:p>
    <w:p w:rsidR="00CD292D" w:rsidRDefault="00CD292D" w:rsidP="00CD292D">
      <w:pPr>
        <w:ind w:firstLine="709"/>
      </w:pPr>
      <w: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CD292D" w:rsidRDefault="00CD292D" w:rsidP="00CD292D">
      <w:pPr>
        <w:ind w:firstLine="709"/>
      </w:pPr>
      <w: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rsidR="00CD292D" w:rsidRDefault="00CD292D" w:rsidP="00CD292D">
      <w:pPr>
        <w:ind w:firstLine="709"/>
      </w:pPr>
      <w:r>
        <w:t>Złącza powinny być całkowicie związane, a powierzchnie przylegających warstw powinny być w jednym poziomie.</w:t>
      </w:r>
    </w:p>
    <w:p w:rsidR="00CD292D" w:rsidRDefault="00CD292D" w:rsidP="00CD292D">
      <w:pPr>
        <w:spacing w:before="120" w:after="120"/>
      </w:pPr>
      <w:r>
        <w:t>5.9.1.2. Technologia rozkładania „gorące przy gorącym”</w:t>
      </w:r>
    </w:p>
    <w:p w:rsidR="00CD292D" w:rsidRDefault="00CD292D" w:rsidP="00CD292D">
      <w:pPr>
        <w:ind w:firstLine="709"/>
      </w:pPr>
      <w: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CD292D" w:rsidRDefault="00CD292D" w:rsidP="00CD292D">
      <w:r>
        <w:t>Walce zagęszczające mieszankę za każdą rozkładarką powinny być o zbliżonych parametrach. Zagęszczanie każdego z pasów należy rozpoczynać od zewnętrznej krawędzi pasa i stopniowo zagęszczać pas w kierunku złącza.</w:t>
      </w:r>
    </w:p>
    <w:p w:rsidR="00CD292D" w:rsidRDefault="00CD292D" w:rsidP="00CD292D">
      <w:pPr>
        <w:ind w:firstLine="709"/>
      </w:pPr>
      <w:r>
        <w:t>Przy tej metodzie nie stosuje się dodatkowych materiałów do złączy.</w:t>
      </w:r>
    </w:p>
    <w:p w:rsidR="00CD292D" w:rsidRDefault="00CD292D" w:rsidP="00CD292D">
      <w:pPr>
        <w:spacing w:before="120" w:after="120"/>
      </w:pPr>
      <w:r>
        <w:t xml:space="preserve"> 5.9.1.3. Technologia rozkładania „gorące przy zimnym” </w:t>
      </w:r>
    </w:p>
    <w:p w:rsidR="00CD292D" w:rsidRDefault="00CD292D" w:rsidP="00CD292D">
      <w:pPr>
        <w:ind w:firstLine="709"/>
      </w:pPr>
      <w: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CD292D" w:rsidRDefault="00CD292D" w:rsidP="00CD292D">
      <w:pPr>
        <w:ind w:firstLine="709"/>
      </w:pPr>
      <w: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CD292D" w:rsidRDefault="00CD292D" w:rsidP="00CD292D">
      <w:pPr>
        <w:ind w:firstLine="709"/>
      </w:pPr>
      <w: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CD292D" w:rsidRDefault="00CD292D" w:rsidP="00CD292D">
      <w:pPr>
        <w:ind w:firstLine="709"/>
      </w:pPr>
      <w:r>
        <w:lastRenderedPageBreak/>
        <w:t>Drugi pas powinien być wykonywany z zakładem 2-3 cm licząc od górnej krawędzi złącza, zachodzącym na pas wykonany wcześniej.</w:t>
      </w:r>
    </w:p>
    <w:p w:rsidR="00CD292D" w:rsidRDefault="00CD292D" w:rsidP="00CD292D">
      <w:pPr>
        <w:keepNext/>
        <w:spacing w:before="120" w:after="120"/>
      </w:pPr>
      <w:r>
        <w:t xml:space="preserve">5.9.1.4. Zakończenie działki roboczej </w:t>
      </w:r>
    </w:p>
    <w:p w:rsidR="00CD292D" w:rsidRDefault="00CD292D" w:rsidP="00CD292D">
      <w:pPr>
        <w:ind w:firstLine="709"/>
      </w:pPr>
      <w:r>
        <w:t>Zakończenie działki roboczej należy wykonać w sposób i przy pomocy urządzeń zapewniających uzyskanie nieregularnej powierzchni spoiny (przy pomocy wstawianej</w:t>
      </w:r>
    </w:p>
    <w:p w:rsidR="00CD292D" w:rsidRDefault="00CD292D" w:rsidP="00CD292D">
      <w:r>
        <w:t>kantówki lub frezarki). Zakończenie działki roboczej należy wykonać prostopadle do osi drogi.</w:t>
      </w:r>
    </w:p>
    <w:p w:rsidR="00CD292D" w:rsidRDefault="00CD292D" w:rsidP="00CD292D">
      <w:pPr>
        <w:ind w:firstLine="709"/>
      </w:pPr>
      <w:r>
        <w:t>Krawędź działki roboczej jest równocześnie krawędzią poprzeczną złącza.</w:t>
      </w:r>
    </w:p>
    <w:p w:rsidR="00CD292D" w:rsidRDefault="00CD292D" w:rsidP="00CD292D">
      <w:pPr>
        <w:ind w:firstLine="709"/>
      </w:pPr>
      <w:r>
        <w:t>Złącza poprzeczne między działkami roboczymi układanych pasów kolejnych warstw technologicznych należy przesunąć względem siebie o co najmniej 3m w kierunku podłużnym do osi jezdni.</w:t>
      </w:r>
    </w:p>
    <w:p w:rsidR="00CD292D" w:rsidRDefault="00CD292D" w:rsidP="00CD292D">
      <w:pPr>
        <w:spacing w:before="120" w:after="120"/>
      </w:pPr>
      <w:r>
        <w:t>5.9.1.5.</w:t>
      </w:r>
      <w:r>
        <w:rPr>
          <w:b/>
          <w:bCs/>
        </w:rPr>
        <w:t xml:space="preserve"> </w:t>
      </w:r>
      <w:r>
        <w:t>Wymagania wobec wbudowania taśm bitumicznych</w:t>
      </w:r>
    </w:p>
    <w:p w:rsidR="00CD292D" w:rsidRDefault="00CD292D" w:rsidP="00CD292D">
      <w:pPr>
        <w:ind w:firstLine="709"/>
      </w:pPr>
      <w:r>
        <w:t>Minimalna wysokość taśmy wynosi 4 cm.</w:t>
      </w:r>
    </w:p>
    <w:p w:rsidR="00CD292D" w:rsidRDefault="00CD292D" w:rsidP="00CD292D">
      <w:pPr>
        <w:ind w:firstLine="709"/>
      </w:pPr>
      <w:r>
        <w:t>Grubość taśmy powinna wynosić 10 mm.</w:t>
      </w:r>
    </w:p>
    <w:p w:rsidR="00CD292D" w:rsidRDefault="00CD292D" w:rsidP="00CD292D">
      <w:pPr>
        <w:ind w:firstLine="709"/>
      </w:pPr>
      <w:r>
        <w:t>Krawędź boczna złącza podłużnego powinna być uformowana za pomocą rolki dociskowej lub poprzez obcięcie nożem talerzowym.</w:t>
      </w:r>
    </w:p>
    <w:p w:rsidR="00CD292D" w:rsidRDefault="00CD292D" w:rsidP="00CD292D">
      <w:pPr>
        <w:ind w:firstLine="709"/>
      </w:pPr>
      <w:r>
        <w:t>Krawędź boczna złącza poprzecznego powinna być uformowana w taki sposób i za</w:t>
      </w:r>
    </w:p>
    <w:p w:rsidR="00CD292D" w:rsidRDefault="00CD292D" w:rsidP="00CD292D">
      <w:r>
        <w:t>pomocą urządzeń umożliwiających uzyskanie nieregularnej powierzchni.</w:t>
      </w:r>
    </w:p>
    <w:p w:rsidR="00CD292D" w:rsidRDefault="00CD292D" w:rsidP="00CD292D">
      <w:pPr>
        <w:ind w:firstLine="709"/>
      </w:pPr>
      <w:r>
        <w:t>Powierzchnie krawędzi do których klejona będzie taśma, powinny być czyste i suche.</w:t>
      </w:r>
    </w:p>
    <w:p w:rsidR="00CD292D" w:rsidRDefault="00CD292D" w:rsidP="00CD292D">
      <w:pPr>
        <w:ind w:firstLine="709"/>
      </w:pPr>
      <w:r>
        <w:t>Przed przyklejeniem taśmy w metodzie „gorące przy zimnym”, krawędzie „zimnej” warstwy na całkowitej grubości, należy zagruntować zgodnie z zaleceniami producenta</w:t>
      </w:r>
    </w:p>
    <w:p w:rsidR="00CD292D" w:rsidRDefault="00CD292D" w:rsidP="00CD292D">
      <w:r>
        <w:t>taśmy. Taśma bitumiczna powinna być wstępnie przyklejona do zimnej krawędzi złącza na całej jego wysokości oraz wystawać ponad powierzchnię warstwy do 5 mm lub wg zaleceń producenta.</w:t>
      </w:r>
    </w:p>
    <w:p w:rsidR="00CD292D" w:rsidRDefault="00CD292D" w:rsidP="00CD292D">
      <w:pPr>
        <w:spacing w:before="120" w:after="120"/>
      </w:pPr>
      <w:r>
        <w:t>5.9.1.6.</w:t>
      </w:r>
      <w:r>
        <w:rPr>
          <w:b/>
          <w:bCs/>
        </w:rPr>
        <w:t xml:space="preserve"> </w:t>
      </w:r>
      <w:r>
        <w:t>Wymagania wobec wbudowywania past bitumicznych</w:t>
      </w:r>
    </w:p>
    <w:p w:rsidR="00CD292D" w:rsidRDefault="00CD292D" w:rsidP="00CD292D">
      <w:pPr>
        <w:ind w:firstLine="709"/>
      </w:pPr>
      <w:r>
        <w:t>Przygotowanie krawędzi bocznych jak w przypadku stosowania taśm bitumicznych.</w:t>
      </w:r>
    </w:p>
    <w:p w:rsidR="00CD292D" w:rsidRDefault="00CD292D" w:rsidP="00CD292D">
      <w:pPr>
        <w:ind w:firstLine="709"/>
      </w:pPr>
      <w:r>
        <w:t>Pasta powinna być nanoszona mechanicznie z zapewnieniem równomiernego jej</w:t>
      </w:r>
    </w:p>
    <w:p w:rsidR="00CD292D" w:rsidRDefault="00CD292D" w:rsidP="00CD292D">
      <w:r>
        <w:t>rozprowadzenia na bocznej krawędzi w ilości 3 - 4 kg/m</w:t>
      </w:r>
      <w:r>
        <w:rPr>
          <w:vertAlign w:val="superscript"/>
        </w:rPr>
        <w:t>2</w:t>
      </w:r>
      <w:r>
        <w:t xml:space="preserve"> (warstwa o grubości 3 - 4 mm przy gęstości około 1,0 g/cm</w:t>
      </w:r>
      <w:r>
        <w:rPr>
          <w:vertAlign w:val="superscript"/>
        </w:rPr>
        <w:t>3</w:t>
      </w:r>
      <w:r>
        <w:t>).</w:t>
      </w:r>
    </w:p>
    <w:p w:rsidR="00CD292D" w:rsidRDefault="00CD292D" w:rsidP="00CD292D">
      <w:pPr>
        <w:ind w:firstLine="709"/>
      </w:pPr>
      <w:r>
        <w:t>Dopuszcza się ręczne nanoszenie past w miejscach niedostępnych.</w:t>
      </w:r>
    </w:p>
    <w:p w:rsidR="00CD292D" w:rsidRDefault="00CD292D" w:rsidP="00CD292D">
      <w:pPr>
        <w:spacing w:before="120" w:after="120"/>
      </w:pPr>
      <w:r>
        <w:rPr>
          <w:b/>
          <w:bCs/>
        </w:rPr>
        <w:t>5.9.2.</w:t>
      </w:r>
      <w:r>
        <w:t xml:space="preserve"> Wykonanie spoin  </w:t>
      </w:r>
    </w:p>
    <w:p w:rsidR="00CD292D" w:rsidRDefault="00CD292D" w:rsidP="00CD292D">
      <w:pPr>
        <w:ind w:firstLine="709"/>
      </w:pPr>
      <w:r>
        <w:t>Spoiny należy wykonywać w wypadku połączeń warstwy z urządzeniami w nawierzchni lub ją ograniczającymi.</w:t>
      </w:r>
    </w:p>
    <w:p w:rsidR="00CD292D" w:rsidRDefault="00CD292D" w:rsidP="00CD292D">
      <w:pPr>
        <w:ind w:firstLine="709"/>
      </w:pPr>
      <w:r>
        <w:t xml:space="preserve">Spoiny należy wykonywać z materiałów termoplastycznych (taśmy, pasty, zalewy drogowe na goraco) zgodnych z pktem 2.6. </w:t>
      </w:r>
    </w:p>
    <w:p w:rsidR="00CD292D" w:rsidRDefault="00CD292D" w:rsidP="00CD292D">
      <w:pPr>
        <w:ind w:firstLine="709"/>
      </w:pPr>
      <w:r>
        <w:t>Grubość elastycznej taśmy uszczelniającej w spoinach w warstwie ścieralnej powinna wynosić nie mniej niż 10 mm.</w:t>
      </w:r>
    </w:p>
    <w:p w:rsidR="00CD292D" w:rsidRDefault="00CD292D" w:rsidP="00CD292D">
      <w:pPr>
        <w:ind w:firstLine="709"/>
      </w:pPr>
      <w:r>
        <w:lastRenderedPageBreak/>
        <w:t>Pasta powinna być nanoszona mechanicznie z zapewnieniem równomiernego jej rozprowadzenia na bocznej krawędzi w ilości 3 - 4 kg/m</w:t>
      </w:r>
      <w:r>
        <w:rPr>
          <w:vertAlign w:val="superscript"/>
        </w:rPr>
        <w:t>2</w:t>
      </w:r>
      <w:r>
        <w:t xml:space="preserve"> (warstwa o grubości 3 - 4 mm przy gęstości około 1,0 g/cm</w:t>
      </w:r>
      <w:r>
        <w:rPr>
          <w:vertAlign w:val="superscript"/>
        </w:rPr>
        <w:t>3</w:t>
      </w:r>
      <w:r>
        <w:t>).</w:t>
      </w:r>
    </w:p>
    <w:p w:rsidR="00CD292D" w:rsidRDefault="00CD292D" w:rsidP="00CD292D">
      <w:pPr>
        <w:ind w:firstLine="709"/>
      </w:pPr>
      <w:r>
        <w:t>Zalewy drogowe na gorąco należy stosować zgodnie z zaleceniami producenta, przy czym szerokość naciętej spoiny powinna wynosić ok. 10 mm.</w:t>
      </w:r>
    </w:p>
    <w:p w:rsidR="00CD292D" w:rsidRDefault="00CD292D" w:rsidP="00CD292D">
      <w:pPr>
        <w:pStyle w:val="Nagwek2"/>
        <w:rPr>
          <w:rFonts w:eastAsia="Times New Roman"/>
        </w:rPr>
      </w:pPr>
      <w:r>
        <w:rPr>
          <w:rFonts w:eastAsia="Times New Roman"/>
        </w:rPr>
        <w:t xml:space="preserve">5.10. Krawędzie </w:t>
      </w:r>
    </w:p>
    <w:p w:rsidR="00CD292D" w:rsidRDefault="00CD292D" w:rsidP="00CD292D">
      <w:pPr>
        <w:ind w:firstLine="709"/>
        <w:rPr>
          <w:rFonts w:eastAsiaTheme="minorEastAsia"/>
        </w:rPr>
      </w:pPr>
      <w: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CD292D" w:rsidRDefault="00CD292D" w:rsidP="00CD292D">
      <w:pPr>
        <w:ind w:firstLine="709"/>
      </w:pPr>
      <w:r>
        <w:t>W przypadku warstw nawierzchni bez urządzeń ograniczających (np. krawężników) krawędziom należy nadać spadki o nachyleniu nie większym niż 2:1, przy pomocy rolki dociskowej mocowanej do walca lub elementu mocowanego do rozkładarki tzw „buta” („na gorąco”).</w:t>
      </w:r>
    </w:p>
    <w:p w:rsidR="00CD292D" w:rsidRDefault="00CD292D" w:rsidP="00CD292D">
      <w:pPr>
        <w:ind w:firstLine="709"/>
      </w:pPr>
      <w:r>
        <w:t>Jeżeli krawędzie nie zostały uformowane na gorąco krawędzie należy wyfrezować je na zimno.</w:t>
      </w:r>
    </w:p>
    <w:p w:rsidR="00CD292D" w:rsidRDefault="00CD292D" w:rsidP="00CD292D">
      <w:pPr>
        <w:ind w:firstLine="709"/>
      </w:pPr>
      <w:r>
        <w:t>Po wykonaniu nawierzchni asfaltowej o jednostronnym nachyleniu jezdni należy uszczelnić krawędź położoną wyżej (niżej położona krawędź powinna zostać nieuszczelniona).</w:t>
      </w:r>
    </w:p>
    <w:p w:rsidR="00CD292D" w:rsidRDefault="00CD292D" w:rsidP="00CD292D">
      <w:pPr>
        <w:ind w:firstLine="709"/>
      </w:pPr>
      <w:r>
        <w:t>W przypadku nawierzchni o dwustronnym nachyleniu (przekrój daszkowy) decyzję o potrzebie i sposobie uszczelnienia krawędzi zewnętrznych podejmie Projektant w uzgodnieniu z Inżynierem.</w:t>
      </w:r>
    </w:p>
    <w:p w:rsidR="00CD292D" w:rsidRDefault="00CD292D" w:rsidP="00CD292D">
      <w:pPr>
        <w:ind w:firstLine="709"/>
      </w:pPr>
      <w:r>
        <w:t>Krawędzie zewnętrzne oraz powierzchnie odsadzek poziomych należy uszczelnić przez pokrycie gorącym asfaltem w ilości:</w:t>
      </w:r>
    </w:p>
    <w:p w:rsidR="00CD292D" w:rsidRDefault="00CD292D" w:rsidP="00CD292D">
      <w:pPr>
        <w:ind w:left="426" w:hanging="360"/>
      </w:pPr>
      <w:r>
        <w:rPr>
          <w:sz w:val="16"/>
          <w:szCs w:val="16"/>
        </w:rPr>
        <w:t>–</w:t>
      </w:r>
      <w:r>
        <w:rPr>
          <w:sz w:val="14"/>
          <w:szCs w:val="14"/>
        </w:rPr>
        <w:t xml:space="preserve">         </w:t>
      </w:r>
      <w:r>
        <w:t>powierzchnie odsadzek - 1,5 kg/m</w:t>
      </w:r>
      <w:r>
        <w:rPr>
          <w:vertAlign w:val="superscript"/>
        </w:rPr>
        <w:t>2</w:t>
      </w:r>
      <w:r>
        <w:t>,</w:t>
      </w:r>
    </w:p>
    <w:p w:rsidR="00CD292D" w:rsidRDefault="00CD292D" w:rsidP="00CD292D">
      <w:pPr>
        <w:ind w:left="426" w:hanging="360"/>
      </w:pPr>
      <w:r>
        <w:rPr>
          <w:sz w:val="16"/>
          <w:szCs w:val="16"/>
        </w:rPr>
        <w:t>–</w:t>
      </w:r>
      <w:r>
        <w:rPr>
          <w:sz w:val="14"/>
          <w:szCs w:val="14"/>
        </w:rPr>
        <w:t xml:space="preserve">         </w:t>
      </w:r>
      <w:r>
        <w:t>krawędzie zewnętrzne - 4 kg/m</w:t>
      </w:r>
      <w:r>
        <w:rPr>
          <w:vertAlign w:val="superscript"/>
        </w:rPr>
        <w:t>2</w:t>
      </w:r>
      <w:r>
        <w:t>.</w:t>
      </w:r>
    </w:p>
    <w:p w:rsidR="00CD292D" w:rsidRDefault="00CD292D" w:rsidP="00CD292D">
      <w:pPr>
        <w:ind w:firstLine="709"/>
      </w:pPr>
      <w:r>
        <w:t>Gorący asfalt może być nanoszony w kilku przejściach roboczych.</w:t>
      </w:r>
    </w:p>
    <w:p w:rsidR="00CD292D" w:rsidRDefault="00CD292D" w:rsidP="00CD292D">
      <w:pPr>
        <w:ind w:firstLine="709"/>
      </w:pPr>
      <w: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CD292D" w:rsidRDefault="00CD292D" w:rsidP="00CD292D">
      <w:pPr>
        <w:ind w:firstLine="709"/>
      </w:pPr>
      <w:r>
        <w:t xml:space="preserve">Lepiszcze powinno być naniesione odpowiednio szybko tak, aby krawędzie nie uległy zabrudzeniu. Niżej położona krawędź (z wyjątkiem strefy zmiany przechyłki) powinna pozostać nieuszczelniona. </w:t>
      </w:r>
    </w:p>
    <w:p w:rsidR="00CD292D" w:rsidRDefault="00CD292D" w:rsidP="00CD292D">
      <w:pPr>
        <w:ind w:firstLine="709"/>
      </w:pPr>
      <w: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CD292D" w:rsidRDefault="00CD292D" w:rsidP="00CD292D">
      <w:pPr>
        <w:pStyle w:val="Nagwek2"/>
        <w:rPr>
          <w:rFonts w:eastAsia="Times New Roman"/>
        </w:rPr>
      </w:pPr>
      <w:r>
        <w:rPr>
          <w:rFonts w:eastAsia="Times New Roman"/>
        </w:rPr>
        <w:t>5.11. Wykończenie warstwy ścieralnej</w:t>
      </w:r>
    </w:p>
    <w:p w:rsidR="00CD292D" w:rsidRDefault="00CD292D" w:rsidP="00CD292D">
      <w:pPr>
        <w:rPr>
          <w:rFonts w:eastAsiaTheme="minorEastAsia"/>
        </w:rPr>
      </w:pPr>
      <w:r>
        <w:t>            Warstwa ścieralna powinna mieć jednorodną teksturę i strukturę dostosowaną do przeznaczenia, np. ze względu na właściwości przeciwpoślizgowe, hałas toczenia kół lub względy estetyczne.</w:t>
      </w:r>
    </w:p>
    <w:p w:rsidR="00CD292D" w:rsidRDefault="00CD292D" w:rsidP="00CD292D">
      <w:pPr>
        <w:ind w:firstLine="709"/>
      </w:pPr>
      <w:bookmarkStart w:id="520" w:name="_Toc412637949"/>
      <w:r>
        <w:lastRenderedPageBreak/>
        <w:t>Nie wymaga się uszorstnienia warstwy ścieralnej z betonu asfaltowego.</w:t>
      </w:r>
      <w:bookmarkEnd w:id="520"/>
    </w:p>
    <w:p w:rsidR="00CD292D" w:rsidRDefault="00CD292D" w:rsidP="00CD292D">
      <w:pPr>
        <w:pStyle w:val="Nagwek2"/>
        <w:rPr>
          <w:rFonts w:eastAsia="Times New Roman"/>
        </w:rPr>
      </w:pPr>
      <w:r>
        <w:rPr>
          <w:rFonts w:eastAsia="Times New Roman"/>
        </w:rPr>
        <w:t>5.12. Jasność nawierzchni</w:t>
      </w:r>
    </w:p>
    <w:p w:rsidR="00CD292D" w:rsidRDefault="00CD292D" w:rsidP="00CD292D">
      <w:pPr>
        <w:ind w:firstLine="709"/>
        <w:rPr>
          <w:rFonts w:eastAsiaTheme="minorEastAsia"/>
        </w:rPr>
      </w:pPr>
      <w:r>
        <w:t>Powierzchnią wymagającą rozjaśnienia warstwy ścieralnej jest nawierzchnia KR5-6 na obiektach inżynierskich w ciągu głównym dróg krajowych i nawierzchnia w tunelach.</w:t>
      </w:r>
    </w:p>
    <w:p w:rsidR="00CD292D" w:rsidRDefault="00CD292D" w:rsidP="00CD292D">
      <w:pPr>
        <w:ind w:firstLine="709"/>
      </w:pPr>
      <w:r>
        <w:t>Rozjaśnienie do żądanego poziomu luminancji można uzyskać przez dodanie jasnego kruszywa grubego lub jasnego kruszywa drobnego lub kombinacji drobnych i grubych kruszyw jasnych do warstwy  ścieralnej.</w:t>
      </w:r>
    </w:p>
    <w:p w:rsidR="00CD292D" w:rsidRDefault="00CD292D" w:rsidP="00CD292D">
      <w:pPr>
        <w:ind w:firstLine="709"/>
      </w:pPr>
      <w: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CD292D" w:rsidRDefault="00CD292D" w:rsidP="00CD292D">
      <w:pPr>
        <w:pStyle w:val="Nagwek1"/>
        <w:rPr>
          <w:rFonts w:eastAsia="Times New Roman"/>
        </w:rPr>
      </w:pPr>
      <w:r>
        <w:rPr>
          <w:rFonts w:eastAsia="Times New Roman"/>
        </w:rPr>
        <w:t>6. Kontrola jakości robót</w:t>
      </w:r>
    </w:p>
    <w:p w:rsidR="00CD292D" w:rsidRDefault="00CD292D" w:rsidP="00CD292D">
      <w:pPr>
        <w:pStyle w:val="Nagwek2"/>
        <w:rPr>
          <w:rFonts w:eastAsia="Times New Roman"/>
        </w:rPr>
      </w:pPr>
      <w:r>
        <w:rPr>
          <w:rFonts w:eastAsia="Times New Roman"/>
        </w:rPr>
        <w:t>6.1. Ogólne zasady kontroli jakości robót</w:t>
      </w:r>
    </w:p>
    <w:p w:rsidR="00CD292D" w:rsidRDefault="00CD292D" w:rsidP="00CD292D">
      <w:pPr>
        <w:rPr>
          <w:rFonts w:eastAsiaTheme="minorEastAsia"/>
        </w:rPr>
      </w:pPr>
      <w:r>
        <w:t>            Ogólne zasady kontroli jakości robót podano w OST   D-M-00.00.00 „Wymagania ogólne” [1] pkt 6.</w:t>
      </w:r>
    </w:p>
    <w:p w:rsidR="00CD292D" w:rsidRDefault="00CD292D" w:rsidP="00CD292D">
      <w:pPr>
        <w:pStyle w:val="Nagwek2"/>
        <w:rPr>
          <w:rFonts w:eastAsia="Times New Roman"/>
        </w:rPr>
      </w:pPr>
      <w:r>
        <w:rPr>
          <w:rFonts w:eastAsia="Times New Roman"/>
        </w:rPr>
        <w:t>6.2. Badania przed przystąpieniem do robót</w:t>
      </w:r>
    </w:p>
    <w:p w:rsidR="00CD292D" w:rsidRDefault="00CD292D" w:rsidP="00CD292D">
      <w:pPr>
        <w:rPr>
          <w:rFonts w:eastAsiaTheme="minorEastAsia"/>
        </w:rPr>
      </w:pPr>
      <w:r>
        <w:t>            Przed przystąpieniem do robót Wykonawca powinien:</w:t>
      </w:r>
    </w:p>
    <w:p w:rsidR="00CD292D" w:rsidRDefault="00CD292D" w:rsidP="00CD292D">
      <w:pPr>
        <w:ind w:left="283" w:hanging="283"/>
      </w:pPr>
      <w:r>
        <w:rPr>
          <w:rFonts w:ascii="Symbol" w:hAnsi="Symbol"/>
          <w:sz w:val="20"/>
          <w:szCs w:val="20"/>
        </w:rPr>
        <w:t></w:t>
      </w:r>
      <w:r>
        <w:rPr>
          <w:sz w:val="14"/>
          <w:szCs w:val="14"/>
        </w:rPr>
        <w:t xml:space="preserve">      </w:t>
      </w: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D292D" w:rsidRDefault="00CD292D" w:rsidP="00CD292D">
      <w:pPr>
        <w:ind w:left="283" w:hanging="283"/>
      </w:pPr>
      <w:r>
        <w:rPr>
          <w:rFonts w:ascii="Symbol" w:hAnsi="Symbol"/>
          <w:sz w:val="20"/>
          <w:szCs w:val="20"/>
        </w:rPr>
        <w:t></w:t>
      </w:r>
      <w:r>
        <w:rPr>
          <w:sz w:val="14"/>
          <w:szCs w:val="14"/>
        </w:rPr>
        <w:t xml:space="preserve">      </w:t>
      </w:r>
      <w:r>
        <w:t>ew. wykonać własne badania właściwości materiałów przeznaczonych do wykonania robót, określone przez Inżyniera.</w:t>
      </w:r>
    </w:p>
    <w:p w:rsidR="00CD292D" w:rsidRDefault="00CD292D" w:rsidP="00CD292D">
      <w:r>
        <w:t>            Wszystkie dokumenty oraz wyniki badań Wykonawca przedstawia Inżynierowi do akceptacji.</w:t>
      </w:r>
    </w:p>
    <w:p w:rsidR="00CD292D" w:rsidRDefault="00CD292D" w:rsidP="00CD292D">
      <w:pPr>
        <w:spacing w:before="120" w:after="120"/>
      </w:pPr>
      <w:r>
        <w:rPr>
          <w:b/>
          <w:bCs/>
        </w:rPr>
        <w:t>6.2.1.</w:t>
      </w:r>
      <w:r>
        <w:t xml:space="preserve"> Badanie typu </w:t>
      </w:r>
    </w:p>
    <w:p w:rsidR="00CD292D" w:rsidRDefault="00CD292D" w:rsidP="00CD292D">
      <w:pPr>
        <w:ind w:firstLine="709"/>
      </w:pPr>
      <w: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CD292D" w:rsidRDefault="00CD292D" w:rsidP="00CD292D">
      <w:pPr>
        <w:ind w:firstLine="709"/>
      </w:pPr>
      <w:r>
        <w:t>Badanie typu powinno zawierać:</w:t>
      </w:r>
    </w:p>
    <w:p w:rsidR="00CD292D" w:rsidRDefault="00CD292D" w:rsidP="00CD292D">
      <w:pPr>
        <w:ind w:left="426" w:hanging="360"/>
      </w:pPr>
      <w:r>
        <w:t>a)</w:t>
      </w:r>
      <w:r>
        <w:rPr>
          <w:sz w:val="14"/>
          <w:szCs w:val="14"/>
        </w:rPr>
        <w:t xml:space="preserve">      </w:t>
      </w:r>
      <w:r>
        <w:t>informacje ogólne:</w:t>
      </w:r>
    </w:p>
    <w:p w:rsidR="00CD292D" w:rsidRDefault="00CD292D" w:rsidP="00CD292D">
      <w:pPr>
        <w:ind w:left="720" w:hanging="360"/>
      </w:pPr>
      <w:r>
        <w:rPr>
          <w:sz w:val="16"/>
          <w:szCs w:val="16"/>
        </w:rPr>
        <w:t>–</w:t>
      </w:r>
      <w:r>
        <w:rPr>
          <w:sz w:val="14"/>
          <w:szCs w:val="14"/>
        </w:rPr>
        <w:t xml:space="preserve">         </w:t>
      </w:r>
      <w:r>
        <w:t>nazwę i adres producenta mieszanki mineralno-asfaltowej,</w:t>
      </w:r>
    </w:p>
    <w:p w:rsidR="00CD292D" w:rsidRDefault="00CD292D" w:rsidP="00CD292D">
      <w:pPr>
        <w:ind w:left="720" w:hanging="360"/>
      </w:pPr>
      <w:r>
        <w:rPr>
          <w:sz w:val="16"/>
          <w:szCs w:val="16"/>
        </w:rPr>
        <w:t>–</w:t>
      </w:r>
      <w:r>
        <w:rPr>
          <w:sz w:val="14"/>
          <w:szCs w:val="14"/>
        </w:rPr>
        <w:t xml:space="preserve">         </w:t>
      </w:r>
      <w:r>
        <w:t>datę wydania,</w:t>
      </w:r>
    </w:p>
    <w:p w:rsidR="00CD292D" w:rsidRDefault="00CD292D" w:rsidP="00CD292D">
      <w:pPr>
        <w:ind w:left="720" w:hanging="360"/>
      </w:pPr>
      <w:r>
        <w:rPr>
          <w:sz w:val="16"/>
          <w:szCs w:val="16"/>
        </w:rPr>
        <w:t>–</w:t>
      </w:r>
      <w:r>
        <w:rPr>
          <w:sz w:val="14"/>
          <w:szCs w:val="14"/>
        </w:rPr>
        <w:t xml:space="preserve">         </w:t>
      </w:r>
      <w:r>
        <w:t>nazwę wytwórni produkującej mieszankę mineralno –asfaltową,</w:t>
      </w:r>
    </w:p>
    <w:p w:rsidR="00CD292D" w:rsidRDefault="00CD292D" w:rsidP="00CD292D">
      <w:pPr>
        <w:ind w:left="720" w:hanging="360"/>
      </w:pPr>
      <w:r>
        <w:rPr>
          <w:sz w:val="16"/>
          <w:szCs w:val="16"/>
        </w:rPr>
        <w:t>–</w:t>
      </w:r>
      <w:r>
        <w:rPr>
          <w:sz w:val="14"/>
          <w:szCs w:val="14"/>
        </w:rPr>
        <w:t xml:space="preserve">         </w:t>
      </w:r>
      <w:r>
        <w:t>określenie typu mieszanki i kategorii, z którymi jest deklarowana zgodność,</w:t>
      </w:r>
    </w:p>
    <w:p w:rsidR="00CD292D" w:rsidRDefault="00CD292D" w:rsidP="00CD292D">
      <w:pPr>
        <w:ind w:left="720" w:hanging="360"/>
      </w:pPr>
      <w:r>
        <w:rPr>
          <w:sz w:val="16"/>
          <w:szCs w:val="16"/>
        </w:rPr>
        <w:t>–</w:t>
      </w:r>
      <w:r>
        <w:rPr>
          <w:sz w:val="14"/>
          <w:szCs w:val="14"/>
        </w:rPr>
        <w:t xml:space="preserve">         </w:t>
      </w:r>
      <w:r>
        <w:t>zestawienie metod przygotowania próbek oraz metod i warunków badania poszczególnych właściwości.</w:t>
      </w:r>
    </w:p>
    <w:p w:rsidR="00CD292D" w:rsidRDefault="00CD292D" w:rsidP="00CD292D">
      <w:pPr>
        <w:ind w:left="426" w:hanging="360"/>
      </w:pPr>
      <w:r>
        <w:lastRenderedPageBreak/>
        <w:t>b)</w:t>
      </w:r>
      <w:r>
        <w:rPr>
          <w:sz w:val="14"/>
          <w:szCs w:val="14"/>
        </w:rPr>
        <w:t xml:space="preserve">      </w:t>
      </w:r>
      <w:r>
        <w:t>informacje o składnikach:</w:t>
      </w:r>
    </w:p>
    <w:p w:rsidR="00CD292D" w:rsidRDefault="00CD292D" w:rsidP="00CD292D">
      <w:pPr>
        <w:ind w:left="720" w:hanging="360"/>
      </w:pPr>
      <w:r>
        <w:rPr>
          <w:sz w:val="16"/>
          <w:szCs w:val="16"/>
        </w:rPr>
        <w:t>–</w:t>
      </w:r>
      <w:r>
        <w:rPr>
          <w:sz w:val="14"/>
          <w:szCs w:val="14"/>
        </w:rPr>
        <w:t xml:space="preserve">         </w:t>
      </w:r>
      <w:r>
        <w:t>każdy wymiar kruszywa: źródło i rodzaj,</w:t>
      </w:r>
    </w:p>
    <w:p w:rsidR="00CD292D" w:rsidRDefault="00CD292D" w:rsidP="00CD292D">
      <w:pPr>
        <w:ind w:left="720" w:hanging="360"/>
      </w:pPr>
      <w:r>
        <w:rPr>
          <w:sz w:val="16"/>
          <w:szCs w:val="16"/>
        </w:rPr>
        <w:t>–</w:t>
      </w:r>
      <w:r>
        <w:rPr>
          <w:sz w:val="14"/>
          <w:szCs w:val="14"/>
        </w:rPr>
        <w:t xml:space="preserve">         </w:t>
      </w:r>
      <w:r>
        <w:t>lepiszcze: typ i rodzaj,</w:t>
      </w:r>
    </w:p>
    <w:p w:rsidR="00CD292D" w:rsidRDefault="00CD292D" w:rsidP="00CD292D">
      <w:pPr>
        <w:ind w:left="720" w:hanging="360"/>
      </w:pPr>
      <w:r>
        <w:rPr>
          <w:sz w:val="16"/>
          <w:szCs w:val="16"/>
        </w:rPr>
        <w:t>–</w:t>
      </w:r>
      <w:r>
        <w:rPr>
          <w:sz w:val="14"/>
          <w:szCs w:val="14"/>
        </w:rPr>
        <w:t xml:space="preserve">         </w:t>
      </w:r>
      <w:r>
        <w:t>wypełniacz: źródło i rodzaj,</w:t>
      </w:r>
    </w:p>
    <w:p w:rsidR="00CD292D" w:rsidRDefault="00CD292D" w:rsidP="00CD292D">
      <w:pPr>
        <w:ind w:left="720" w:hanging="360"/>
      </w:pPr>
      <w:r>
        <w:rPr>
          <w:sz w:val="16"/>
          <w:szCs w:val="16"/>
        </w:rPr>
        <w:t>–</w:t>
      </w:r>
      <w:r>
        <w:rPr>
          <w:sz w:val="14"/>
          <w:szCs w:val="14"/>
        </w:rPr>
        <w:t xml:space="preserve">         </w:t>
      </w:r>
      <w:r>
        <w:t>dodatki: źródło i rodzaj,</w:t>
      </w:r>
    </w:p>
    <w:p w:rsidR="00CD292D" w:rsidRDefault="00CD292D" w:rsidP="00CD292D">
      <w:pPr>
        <w:ind w:left="720" w:hanging="360"/>
      </w:pPr>
      <w:r>
        <w:rPr>
          <w:sz w:val="16"/>
          <w:szCs w:val="16"/>
        </w:rPr>
        <w:t>–</w:t>
      </w:r>
      <w:r>
        <w:rPr>
          <w:sz w:val="14"/>
          <w:szCs w:val="14"/>
        </w:rPr>
        <w:t xml:space="preserve">         </w:t>
      </w:r>
      <w:r>
        <w:t>wszystkie składniki: wyniki badań zgodnie z zestawieniem podanym w tablicy 24.</w:t>
      </w:r>
    </w:p>
    <w:p w:rsidR="00CD292D" w:rsidRDefault="00CD292D" w:rsidP="00CD292D">
      <w:pPr>
        <w:spacing w:before="120" w:after="120"/>
      </w:pPr>
      <w:r>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CD292D" w:rsidTr="00CD292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Liczba badań</w:t>
            </w:r>
          </w:p>
        </w:tc>
      </w:tr>
      <w:tr w:rsidR="00CD292D" w:rsidTr="00CD292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Kruszywo</w:t>
            </w:r>
          </w:p>
          <w:p w:rsidR="00CD292D" w:rsidRDefault="00CD292D">
            <w: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 na frakcję</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 na frakcję</w:t>
            </w:r>
          </w:p>
        </w:tc>
      </w:tr>
      <w:tr w:rsidR="00CD292D" w:rsidTr="00CD292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Penetracja lub tem-peratura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1426 [21] lub</w:t>
            </w:r>
          </w:p>
          <w:p w:rsidR="00CD292D" w:rsidRDefault="00CD292D">
            <w:pPr>
              <w:jc w:val="center"/>
            </w:pPr>
            <w: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Nawrót sprężysty</w:t>
            </w:r>
            <w:r>
              <w:rPr>
                <w:vertAlign w:val="superscript"/>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Wypełniacz </w:t>
            </w:r>
          </w:p>
          <w:p w:rsidR="00CD292D" w:rsidRDefault="00CD292D">
            <w: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 </w:t>
            </w:r>
          </w:p>
        </w:tc>
      </w:tr>
    </w:tbl>
    <w:p w:rsidR="00CD292D" w:rsidRDefault="00CD292D" w:rsidP="00CD292D">
      <w:pPr>
        <w:rPr>
          <w:rFonts w:eastAsiaTheme="minorEastAsia"/>
        </w:rPr>
      </w:pPr>
      <w:r>
        <w:rPr>
          <w:vertAlign w:val="superscript"/>
        </w:rPr>
        <w:t>*)</w:t>
      </w:r>
      <w:r>
        <w:t xml:space="preserve"> dotyczy jedynie lepiszczy wg PN-EN 14023[64]</w:t>
      </w:r>
    </w:p>
    <w:p w:rsidR="00CD292D" w:rsidRDefault="00CD292D" w:rsidP="00CD292D">
      <w:pPr>
        <w:spacing w:before="120"/>
        <w:ind w:left="425" w:hanging="357"/>
      </w:pPr>
      <w:r>
        <w:t>c)</w:t>
      </w:r>
      <w:r>
        <w:rPr>
          <w:sz w:val="14"/>
          <w:szCs w:val="14"/>
        </w:rPr>
        <w:t xml:space="preserve">      </w:t>
      </w:r>
      <w:r>
        <w:t>informacje o mieszance mineralno-asfaltowej:</w:t>
      </w:r>
    </w:p>
    <w:p w:rsidR="00CD292D" w:rsidRDefault="00CD292D" w:rsidP="00CD292D">
      <w:pPr>
        <w:ind w:left="720" w:hanging="360"/>
      </w:pPr>
      <w:r>
        <w:rPr>
          <w:sz w:val="16"/>
          <w:szCs w:val="16"/>
        </w:rPr>
        <w:t>–</w:t>
      </w:r>
      <w:r>
        <w:rPr>
          <w:sz w:val="14"/>
          <w:szCs w:val="14"/>
        </w:rPr>
        <w:t xml:space="preserve">         </w:t>
      </w:r>
      <w:r>
        <w:t>skład mieszaki podany jako wejściowy (w przypadku walidacji w laboratorium) lub wyjściowy skład (w wypadku walidacji produkcji),</w:t>
      </w:r>
    </w:p>
    <w:p w:rsidR="00CD292D" w:rsidRDefault="00CD292D" w:rsidP="00CD292D">
      <w:pPr>
        <w:ind w:left="720" w:hanging="360"/>
      </w:pPr>
      <w:r>
        <w:rPr>
          <w:sz w:val="16"/>
          <w:szCs w:val="16"/>
        </w:rPr>
        <w:t>–</w:t>
      </w:r>
      <w:r>
        <w:rPr>
          <w:sz w:val="14"/>
          <w:szCs w:val="14"/>
        </w:rPr>
        <w:t xml:space="preserve">         </w:t>
      </w:r>
      <w:r>
        <w:t>wyniki badań zgodnie z zestawieniem podanym w tablicy 25.</w:t>
      </w:r>
    </w:p>
    <w:p w:rsidR="00CD292D" w:rsidRDefault="00CD292D" w:rsidP="00CD292D">
      <w:pPr>
        <w:spacing w:before="240" w:after="120"/>
      </w:pPr>
      <w: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CD292D" w:rsidTr="00CD292D">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Liczba badań</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12697-1[31]</w:t>
            </w:r>
          </w:p>
          <w:p w:rsidR="00CD292D" w:rsidRDefault="00CD292D">
            <w:pPr>
              <w:jc w:val="center"/>
            </w:pPr>
            <w: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wolnych przestrzeni łącznie z VFB i VMA przy wymaganej zawartości wolnych przestrzeni V</w:t>
            </w:r>
            <w:r>
              <w:rPr>
                <w:vertAlign w:val="subscript"/>
              </w:rPr>
              <w:t>max</w:t>
            </w:r>
            <w: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12697-8 [35]</w:t>
            </w:r>
          </w:p>
          <w:p w:rsidR="00CD292D" w:rsidRDefault="00CD292D">
            <w:r>
              <w:t>Gęstość objętościowa wg PN-EN 12697-6 [34], metoda B, w stanie nasyconym 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w:t>
            </w:r>
          </w:p>
          <w:p w:rsidR="00CD292D" w:rsidRDefault="00CD292D">
            <w:pPr>
              <w:jc w:val="center"/>
            </w:pPr>
            <w:r>
              <w:t> </w:t>
            </w:r>
          </w:p>
          <w:p w:rsidR="00CD292D" w:rsidRDefault="00CD292D">
            <w:pPr>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deformacje trwałe (powiązana funkcjonalnie), dotyczy betonu asfaltowego zaprojektowa-nego do maksymalnego obciążenia osi poniżej 130 kN</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12697-22 [39]</w:t>
            </w:r>
          </w:p>
          <w:p w:rsidR="00CD292D" w:rsidRDefault="00CD292D">
            <w: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w:t>
            </w:r>
          </w:p>
          <w:p w:rsidR="00CD292D" w:rsidRDefault="00CD292D">
            <w:pPr>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bl>
    <w:p w:rsidR="00CD292D" w:rsidRDefault="00CD292D" w:rsidP="00CD292D">
      <w:pPr>
        <w:spacing w:before="120"/>
        <w:ind w:firstLine="426"/>
        <w:rPr>
          <w:rFonts w:eastAsiaTheme="minorEastAsia"/>
        </w:rPr>
      </w:pPr>
      <w:r>
        <w:t>Badanie typu należy przeprowadzić zgodnie z PN-EN 13108-20 [52] przy pierwszym wprowadzeniu mieszanek mineralno-asfaltowych do obrotu i powinno być powtórzone w wypadku:</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upływu trzech lat,</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złoża kruszywa,</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rodzaju kruszywa (typu petrograficznego),</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kategorii kruszywa grubego, jak definiowano w PN-EN 13043 [49], jednej z następujących właściwości: kształtu, udziału ziaren częściowo przekruszonych, odporności na rozdrabnianie, odporności na ścieranie lub kanciastości kruszywa drobnego,</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gęstości ziaren (średnia ważona) o więcej niż 0,05 Mg/m</w:t>
      </w:r>
      <w:r>
        <w:rPr>
          <w:color w:val="000000"/>
          <w:vertAlign w:val="superscript"/>
        </w:rPr>
        <w:t>3</w:t>
      </w:r>
      <w:r>
        <w:rPr>
          <w:color w:val="000000"/>
        </w:rPr>
        <w:t>,</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rodzaju lepiszcza,</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typu mineralogicznego wypełniacza.</w:t>
      </w:r>
    </w:p>
    <w:p w:rsidR="00CD292D" w:rsidRDefault="00CD292D" w:rsidP="00CD292D">
      <w:pPr>
        <w:ind w:firstLine="709"/>
      </w:pPr>
      <w: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CD292D" w:rsidRDefault="00CD292D" w:rsidP="00CD292D">
      <w:pPr>
        <w:pStyle w:val="Nagwek2"/>
        <w:rPr>
          <w:rFonts w:eastAsia="Times New Roman"/>
        </w:rPr>
      </w:pPr>
      <w:r>
        <w:rPr>
          <w:rFonts w:eastAsia="Times New Roman"/>
        </w:rPr>
        <w:t>6.3. Badania w czasie robót</w:t>
      </w:r>
    </w:p>
    <w:p w:rsidR="00CD292D" w:rsidRDefault="00CD292D" w:rsidP="00CD292D">
      <w:pPr>
        <w:rPr>
          <w:rFonts w:eastAsiaTheme="minorEastAsia"/>
        </w:rPr>
      </w:pPr>
      <w:r>
        <w:t>            Badania dzielą się na:</w:t>
      </w:r>
    </w:p>
    <w:p w:rsidR="00CD292D" w:rsidRDefault="00CD292D" w:rsidP="00CD292D">
      <w:pPr>
        <w:ind w:left="397" w:hanging="397"/>
      </w:pPr>
      <w:r>
        <w:t>–</w:t>
      </w:r>
      <w:r>
        <w:rPr>
          <w:sz w:val="14"/>
          <w:szCs w:val="14"/>
        </w:rPr>
        <w:t xml:space="preserve">         </w:t>
      </w:r>
      <w:r>
        <w:t>badania Wykonawcy (w ramach własnego nadzoru),</w:t>
      </w:r>
    </w:p>
    <w:p w:rsidR="00CD292D" w:rsidRDefault="00CD292D" w:rsidP="00CD292D">
      <w:pPr>
        <w:ind w:left="397" w:hanging="397"/>
      </w:pPr>
      <w:r>
        <w:t>–</w:t>
      </w:r>
      <w:r>
        <w:rPr>
          <w:sz w:val="14"/>
          <w:szCs w:val="14"/>
        </w:rPr>
        <w:t xml:space="preserve">         </w:t>
      </w:r>
      <w:r>
        <w:t>badania kontrolne (w ramach nadzoru zleceniodawcy – Inżyniera):</w:t>
      </w:r>
    </w:p>
    <w:p w:rsidR="00CD292D" w:rsidRDefault="00CD292D" w:rsidP="00CD292D">
      <w:pPr>
        <w:ind w:left="397" w:hanging="37"/>
      </w:pPr>
      <w:r>
        <w:t>–</w:t>
      </w:r>
      <w:r>
        <w:rPr>
          <w:sz w:val="14"/>
          <w:szCs w:val="14"/>
        </w:rPr>
        <w:t xml:space="preserve">        </w:t>
      </w:r>
      <w:r>
        <w:t>dodatkowe,</w:t>
      </w:r>
    </w:p>
    <w:p w:rsidR="00CD292D" w:rsidRDefault="00CD292D" w:rsidP="00CD292D">
      <w:pPr>
        <w:ind w:left="397" w:hanging="37"/>
      </w:pPr>
      <w:r>
        <w:lastRenderedPageBreak/>
        <w:t>–</w:t>
      </w:r>
      <w:r>
        <w:rPr>
          <w:sz w:val="14"/>
          <w:szCs w:val="14"/>
        </w:rPr>
        <w:t xml:space="preserve">        </w:t>
      </w:r>
      <w:r>
        <w:t>arbitrażowe.</w:t>
      </w:r>
    </w:p>
    <w:p w:rsidR="00CD292D" w:rsidRDefault="00CD292D" w:rsidP="00CD292D">
      <w:pPr>
        <w:pStyle w:val="Nagwek2"/>
        <w:rPr>
          <w:rFonts w:eastAsia="Times New Roman"/>
        </w:rPr>
      </w:pPr>
      <w:r>
        <w:rPr>
          <w:rFonts w:eastAsia="Times New Roman"/>
        </w:rPr>
        <w:t>6.4. Badania Wykonawcy</w:t>
      </w:r>
    </w:p>
    <w:p w:rsidR="00CD292D" w:rsidRDefault="00CD292D" w:rsidP="00CD292D">
      <w:pPr>
        <w:spacing w:after="120"/>
        <w:rPr>
          <w:rFonts w:eastAsiaTheme="minorEastAsia"/>
        </w:rPr>
      </w:pPr>
      <w:r>
        <w:rPr>
          <w:b/>
          <w:bCs/>
        </w:rPr>
        <w:t>6.4.1.</w:t>
      </w:r>
      <w:r>
        <w:t xml:space="preserve"> Badania w czasie wytwarzania mieszanki mineralno-asfaltowej </w:t>
      </w:r>
    </w:p>
    <w:p w:rsidR="00CD292D" w:rsidRDefault="00CD292D" w:rsidP="00CD292D">
      <w:pPr>
        <w:ind w:firstLine="709"/>
      </w:pPr>
      <w:r>
        <w:t>Badania Wykonawcy w czasie wytwarzania mieszanki mineralno–asfaltowej powinny być wykonywane w ramach zakładowej kontroli produkcji, zgodnie z normą PN-EN 13108-21 [53].</w:t>
      </w:r>
    </w:p>
    <w:p w:rsidR="00CD292D" w:rsidRDefault="00CD292D" w:rsidP="00CD292D">
      <w:pPr>
        <w:ind w:firstLine="709"/>
      </w:pPr>
      <w:r>
        <w:t>Zakres badań Wykonawcy w systemie zakładowej kontroli produkcji obejmuje:</w:t>
      </w:r>
    </w:p>
    <w:p w:rsidR="00CD292D" w:rsidRDefault="00CD292D" w:rsidP="00CD292D">
      <w:pPr>
        <w:ind w:left="454" w:hanging="397"/>
      </w:pPr>
      <w:r>
        <w:t>–</w:t>
      </w:r>
      <w:r>
        <w:rPr>
          <w:sz w:val="14"/>
          <w:szCs w:val="14"/>
        </w:rPr>
        <w:t xml:space="preserve">         </w:t>
      </w:r>
      <w:r>
        <w:t xml:space="preserve">badania materiałów wsadowych do mieszanki mineralno-asfaltowej (asfaltów, kruszyw wypełniacza  i dodatków), </w:t>
      </w:r>
    </w:p>
    <w:p w:rsidR="00CD292D" w:rsidRDefault="00CD292D" w:rsidP="00CD292D">
      <w:pPr>
        <w:ind w:left="454" w:hanging="397"/>
      </w:pPr>
      <w:r>
        <w:t>–</w:t>
      </w:r>
      <w:r>
        <w:rPr>
          <w:sz w:val="14"/>
          <w:szCs w:val="14"/>
        </w:rPr>
        <w:t xml:space="preserve">         </w:t>
      </w:r>
      <w:r>
        <w:t>badanie składu i właściwości mieszanki mineralno-asfaltowej.</w:t>
      </w:r>
    </w:p>
    <w:p w:rsidR="00CD292D" w:rsidRDefault="00CD292D" w:rsidP="00CD292D">
      <w:pPr>
        <w:ind w:firstLine="709"/>
      </w:pPr>
      <w:r>
        <w:t xml:space="preserve">Częstotliwość oraz zakres badań i pomiarów w czasie wytwarzania mieszanki mineralno-asfaltowej powinno być zgodne z certyfikowanym systemem ZKP. </w:t>
      </w:r>
    </w:p>
    <w:p w:rsidR="00CD292D" w:rsidRDefault="00CD292D" w:rsidP="00CD292D">
      <w:pPr>
        <w:spacing w:before="120" w:after="120"/>
      </w:pPr>
      <w:r>
        <w:rPr>
          <w:b/>
          <w:bCs/>
        </w:rPr>
        <w:t>6.4.2.</w:t>
      </w:r>
      <w:r>
        <w:t xml:space="preserve"> Badania w czasie wykonywania warstwy asfaltowej i badania gotowej warstwy   </w:t>
      </w:r>
    </w:p>
    <w:p w:rsidR="00CD292D" w:rsidRDefault="00CD292D" w:rsidP="00CD292D">
      <w:pPr>
        <w:ind w:firstLine="709"/>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CD292D" w:rsidRDefault="00CD292D" w:rsidP="00CD292D">
      <w: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CD292D" w:rsidRDefault="00CD292D" w:rsidP="00CD292D">
      <w:r>
        <w:t>            Wyniki badań Wykonawcy należy przekazywać Inżynierowi na jego żądanie. Inżynier może zdecydować o dokonaniu odbioru na podstawie badań Wykonawcy. W razie zastrzeżeń Inżynier może przeprowadzić badania kontrolne według pktu 6.5.</w:t>
      </w:r>
    </w:p>
    <w:p w:rsidR="00CD292D" w:rsidRDefault="00CD292D" w:rsidP="00CD292D">
      <w:r>
        <w:t>            Zakres badań Wykonawcy związany z wykonywaniem nawierzchni:</w:t>
      </w:r>
    </w:p>
    <w:p w:rsidR="00CD292D" w:rsidRDefault="00CD292D" w:rsidP="00CD292D">
      <w:pPr>
        <w:ind w:left="397" w:hanging="397"/>
      </w:pPr>
      <w:r>
        <w:t>–</w:t>
      </w:r>
      <w:r>
        <w:rPr>
          <w:sz w:val="14"/>
          <w:szCs w:val="14"/>
        </w:rPr>
        <w:t xml:space="preserve">         </w:t>
      </w:r>
      <w:r>
        <w:t>pomiar temperatury powietrza,</w:t>
      </w:r>
    </w:p>
    <w:p w:rsidR="00CD292D" w:rsidRDefault="00CD292D" w:rsidP="00CD292D">
      <w:pPr>
        <w:ind w:left="397" w:hanging="397"/>
      </w:pPr>
      <w:r>
        <w:t>–</w:t>
      </w:r>
      <w:r>
        <w:rPr>
          <w:sz w:val="14"/>
          <w:szCs w:val="14"/>
        </w:rPr>
        <w:t xml:space="preserve">         </w:t>
      </w:r>
      <w:r>
        <w:t>pomiar temperatury mieszanki mineralno-asfaltowej podczas wykonywania nawierzchni (wg PN-EN 12697-13 [38]),</w:t>
      </w:r>
    </w:p>
    <w:p w:rsidR="00CD292D" w:rsidRDefault="00CD292D" w:rsidP="00CD292D">
      <w:pPr>
        <w:ind w:left="397" w:hanging="397"/>
      </w:pPr>
      <w:r>
        <w:t>–</w:t>
      </w:r>
      <w:r>
        <w:rPr>
          <w:sz w:val="14"/>
          <w:szCs w:val="14"/>
        </w:rPr>
        <w:t xml:space="preserve">         </w:t>
      </w:r>
      <w:r>
        <w:t>ocena wizualna mieszanki mineralno-asfaltowej,</w:t>
      </w:r>
    </w:p>
    <w:p w:rsidR="00CD292D" w:rsidRDefault="00CD292D" w:rsidP="00CD292D">
      <w:pPr>
        <w:ind w:left="397" w:hanging="397"/>
      </w:pPr>
      <w:r>
        <w:t>–</w:t>
      </w:r>
      <w:r>
        <w:rPr>
          <w:sz w:val="14"/>
          <w:szCs w:val="14"/>
        </w:rPr>
        <w:t xml:space="preserve">         </w:t>
      </w:r>
      <w:r>
        <w:t>ocena wizualna posypki,</w:t>
      </w:r>
    </w:p>
    <w:p w:rsidR="00CD292D" w:rsidRDefault="00CD292D" w:rsidP="00CD292D">
      <w:pPr>
        <w:ind w:left="397" w:hanging="397"/>
      </w:pPr>
      <w:r>
        <w:t>–</w:t>
      </w:r>
      <w:r>
        <w:rPr>
          <w:sz w:val="14"/>
          <w:szCs w:val="14"/>
        </w:rPr>
        <w:t xml:space="preserve">         </w:t>
      </w:r>
      <w:r>
        <w:t>wykaz ilości materiałów lub grubości wykonanej warstwy,</w:t>
      </w:r>
    </w:p>
    <w:p w:rsidR="00CD292D" w:rsidRDefault="00CD292D" w:rsidP="00CD292D">
      <w:pPr>
        <w:ind w:left="397" w:hanging="397"/>
      </w:pPr>
      <w:r>
        <w:t>–</w:t>
      </w:r>
      <w:r>
        <w:rPr>
          <w:sz w:val="14"/>
          <w:szCs w:val="14"/>
        </w:rPr>
        <w:t xml:space="preserve">         </w:t>
      </w:r>
      <w:r>
        <w:t>pomiar spadku poprzecznego warstwy asfaltowej,</w:t>
      </w:r>
    </w:p>
    <w:p w:rsidR="00CD292D" w:rsidRDefault="00CD292D" w:rsidP="00CD292D">
      <w:pPr>
        <w:ind w:left="397" w:hanging="397"/>
      </w:pPr>
      <w:r>
        <w:t>–</w:t>
      </w:r>
      <w:r>
        <w:rPr>
          <w:sz w:val="14"/>
          <w:szCs w:val="14"/>
        </w:rPr>
        <w:t xml:space="preserve">         </w:t>
      </w:r>
      <w:r>
        <w:t>pomiar równości warstwy asfaltowej (wg pktu 6.5.4.4),</w:t>
      </w:r>
    </w:p>
    <w:p w:rsidR="00CD292D" w:rsidRDefault="00CD292D" w:rsidP="00CD292D">
      <w:pPr>
        <w:ind w:left="397" w:hanging="397"/>
      </w:pPr>
      <w:r>
        <w:t>–</w:t>
      </w:r>
      <w:r>
        <w:rPr>
          <w:sz w:val="14"/>
          <w:szCs w:val="14"/>
        </w:rPr>
        <w:t xml:space="preserve">         </w:t>
      </w:r>
      <w:r>
        <w:t>dokumentacja działań podejmowanych celem zapewnienia odpowiednich właściwości przeciwpoślizgowych,</w:t>
      </w:r>
    </w:p>
    <w:p w:rsidR="00CD292D" w:rsidRDefault="00CD292D" w:rsidP="00CD292D">
      <w:pPr>
        <w:ind w:left="397" w:hanging="397"/>
      </w:pPr>
      <w:r>
        <w:t>–</w:t>
      </w:r>
      <w:r>
        <w:rPr>
          <w:sz w:val="14"/>
          <w:szCs w:val="14"/>
        </w:rPr>
        <w:t xml:space="preserve">         </w:t>
      </w:r>
      <w:r>
        <w:t>pomiar parametrów geometrycznych poboczy,</w:t>
      </w:r>
    </w:p>
    <w:p w:rsidR="00CD292D" w:rsidRDefault="00CD292D" w:rsidP="00CD292D">
      <w:pPr>
        <w:ind w:left="397" w:hanging="397"/>
      </w:pPr>
      <w:r>
        <w:t>–</w:t>
      </w:r>
      <w:r>
        <w:rPr>
          <w:sz w:val="14"/>
          <w:szCs w:val="14"/>
        </w:rPr>
        <w:t xml:space="preserve">         </w:t>
      </w:r>
      <w:r>
        <w:t>ocena wizualna jednorodności powierzchni warstwy,</w:t>
      </w:r>
    </w:p>
    <w:p w:rsidR="00CD292D" w:rsidRDefault="00CD292D" w:rsidP="00CD292D">
      <w:pPr>
        <w:ind w:left="397" w:hanging="397"/>
      </w:pPr>
      <w:r>
        <w:t>–</w:t>
      </w:r>
      <w:r>
        <w:rPr>
          <w:sz w:val="14"/>
          <w:szCs w:val="14"/>
        </w:rPr>
        <w:t xml:space="preserve">         </w:t>
      </w:r>
      <w:r>
        <w:t>ocena wizualna jakości wykonania połączeń technologicznych.</w:t>
      </w:r>
    </w:p>
    <w:p w:rsidR="00CD292D" w:rsidRDefault="00CD292D" w:rsidP="00CD292D">
      <w:pPr>
        <w:pStyle w:val="Nagwek2"/>
        <w:rPr>
          <w:rFonts w:eastAsia="Times New Roman"/>
        </w:rPr>
      </w:pPr>
      <w:r>
        <w:rPr>
          <w:rFonts w:eastAsia="Times New Roman"/>
        </w:rPr>
        <w:lastRenderedPageBreak/>
        <w:t>6.5. Badania kontrolne zamawiającego</w:t>
      </w:r>
    </w:p>
    <w:p w:rsidR="00CD292D" w:rsidRDefault="00CD292D" w:rsidP="00CD292D">
      <w:pPr>
        <w:rPr>
          <w:rFonts w:eastAsiaTheme="minorEastAsia"/>
        </w:rPr>
      </w:pPr>
      <w: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CD292D" w:rsidRDefault="00CD292D" w:rsidP="00CD292D">
      <w:pPr>
        <w:pStyle w:val="Wcicienormalne"/>
        <w:spacing w:before="0" w:after="0"/>
        <w:ind w:left="0" w:firstLine="709"/>
      </w:pPr>
      <w:r>
        <w:t xml:space="preserve">Rodzaj i zakres badań kontrolnych Zamawiającego mieszanki mineralno-asfaltowej i wykonanej warstwy jest następujący: </w:t>
      </w:r>
    </w:p>
    <w:p w:rsidR="00CD292D" w:rsidRDefault="00CD292D" w:rsidP="00CD292D">
      <w:pPr>
        <w:ind w:left="397" w:hanging="397"/>
      </w:pPr>
      <w:r>
        <w:rPr>
          <w:rFonts w:ascii="Times-Roman" w:hAnsi="Times-Roman"/>
        </w:rPr>
        <w:t>-</w:t>
      </w:r>
      <w:r>
        <w:rPr>
          <w:sz w:val="14"/>
          <w:szCs w:val="14"/>
        </w:rPr>
        <w:t xml:space="preserve">           </w:t>
      </w:r>
      <w:r>
        <w:t>badania materiałów wsadowych do mieszanki mineralno-asfaltowej (asfaltów, kruszyw, wypełniacza  i dodatków).</w:t>
      </w:r>
    </w:p>
    <w:p w:rsidR="00CD292D" w:rsidRDefault="00CD292D" w:rsidP="00CD292D">
      <w:pPr>
        <w:pStyle w:val="Wcicienormalne"/>
        <w:spacing w:before="0" w:after="0"/>
        <w:ind w:left="0"/>
      </w:pPr>
      <w:r>
        <w:t>Mieszanka mineralno-asfaltowa: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uziarnienie,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zawartość lepiszcza,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temperatura mięknienia odzyskanego lepiszcza,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gęstość i zawartość wolnych przestrzeni próbki.</w:t>
      </w:r>
    </w:p>
    <w:p w:rsidR="00CD292D" w:rsidRDefault="00CD292D" w:rsidP="00CD292D">
      <w:r>
        <w:t>Warunki technologiczne wbudowywania mieszanki mineralno-asfaltowej:</w:t>
      </w:r>
    </w:p>
    <w:p w:rsidR="00CD292D" w:rsidRDefault="00CD292D" w:rsidP="00CD292D">
      <w:pPr>
        <w:ind w:left="397" w:hanging="397"/>
      </w:pPr>
      <w:r>
        <w:rPr>
          <w:rFonts w:ascii="Times-Roman" w:hAnsi="Times-Roman"/>
        </w:rPr>
        <w:t>-</w:t>
      </w:r>
      <w:r>
        <w:rPr>
          <w:sz w:val="14"/>
          <w:szCs w:val="14"/>
        </w:rPr>
        <w:t xml:space="preserve">           </w:t>
      </w:r>
      <w:r>
        <w:t>pomiar temperatury powietrza podczas pobrania  próby do badań,</w:t>
      </w:r>
    </w:p>
    <w:p w:rsidR="00CD292D" w:rsidRDefault="00CD292D" w:rsidP="00CD292D">
      <w:pPr>
        <w:ind w:left="397" w:hanging="397"/>
      </w:pPr>
      <w:r>
        <w:rPr>
          <w:rFonts w:ascii="Times-Roman" w:hAnsi="Times-Roman"/>
        </w:rPr>
        <w:t>-</w:t>
      </w:r>
      <w:r>
        <w:rPr>
          <w:sz w:val="14"/>
          <w:szCs w:val="14"/>
        </w:rPr>
        <w:t xml:space="preserve">           </w:t>
      </w:r>
      <w:r>
        <w:t>pomiar temperatury mieszanki mineralno-asfaltowej,</w:t>
      </w:r>
    </w:p>
    <w:p w:rsidR="00CD292D" w:rsidRDefault="00CD292D" w:rsidP="00CD292D">
      <w:pPr>
        <w:ind w:left="397" w:hanging="397"/>
      </w:pPr>
      <w:r>
        <w:rPr>
          <w:rFonts w:ascii="Times-Roman" w:hAnsi="Times-Roman"/>
        </w:rPr>
        <w:t>-</w:t>
      </w:r>
      <w:r>
        <w:rPr>
          <w:sz w:val="14"/>
          <w:szCs w:val="14"/>
        </w:rPr>
        <w:t xml:space="preserve">           </w:t>
      </w:r>
      <w:r>
        <w:t>ocena wizualna dostarczonej mieszanki mineralno-asfaltowej.</w:t>
      </w:r>
    </w:p>
    <w:p w:rsidR="00CD292D" w:rsidRDefault="00CD292D" w:rsidP="00CD292D">
      <w:r>
        <w:t>Wykonana warstwa: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wskaźnik zagęszczenia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grubość warstwy lub ilość zużytego materiału,</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równość podłużna i poprzeczna,</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spadki poprzeczne,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zawartość wolnych przestrzeni,</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złącza technologiczne,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szerokość warstwy,</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rzędne wysokościowe,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ukształtowanie osi w planie,</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ocena wizualna warstwy,</w:t>
      </w:r>
    </w:p>
    <w:p w:rsidR="00CD292D" w:rsidRDefault="00CD292D" w:rsidP="00CD292D">
      <w:pPr>
        <w:pStyle w:val="Wcicienormalne"/>
        <w:spacing w:before="0" w:after="0"/>
        <w:ind w:left="360" w:hanging="360"/>
      </w:pPr>
      <w:r>
        <w:rPr>
          <w:rFonts w:ascii="Times-Roman" w:hAnsi="Times-Roman"/>
        </w:rPr>
        <w:t>-</w:t>
      </w:r>
      <w:r>
        <w:rPr>
          <w:sz w:val="14"/>
          <w:szCs w:val="14"/>
        </w:rPr>
        <w:t xml:space="preserve">          </w:t>
      </w:r>
      <w:r>
        <w:t>właściwości przeciwpoślizgowe warstwy ścieralnej.</w:t>
      </w:r>
    </w:p>
    <w:p w:rsidR="00CD292D" w:rsidRDefault="00CD292D" w:rsidP="00CD292D">
      <w:pPr>
        <w:keepNext/>
        <w:spacing w:before="120" w:after="120"/>
      </w:pPr>
      <w:r>
        <w:rPr>
          <w:b/>
          <w:bCs/>
          <w:color w:val="000000"/>
        </w:rPr>
        <w:t xml:space="preserve">6.5.1. </w:t>
      </w:r>
      <w:r>
        <w:rPr>
          <w:color w:val="000000"/>
        </w:rPr>
        <w:t>Badanie materiałów wsadowych</w:t>
      </w:r>
    </w:p>
    <w:p w:rsidR="00CD292D" w:rsidRDefault="00CD292D" w:rsidP="00CD292D">
      <w:pPr>
        <w:ind w:firstLine="709"/>
      </w:pPr>
      <w:r>
        <w:t xml:space="preserve">Właściwości materiałów wsadowych należy oceniać na podstawie badań pobranych próbek w miejscu produkcji  mieszanki mineralno-asfaltowej. </w:t>
      </w:r>
    </w:p>
    <w:p w:rsidR="00CD292D" w:rsidRDefault="00CD292D" w:rsidP="00CD292D">
      <w:pPr>
        <w:ind w:firstLine="709"/>
      </w:pPr>
      <w:r>
        <w:t xml:space="preserve">Do oceny jakości materiałów wsadowych mieszanki mineralno-asfaltowej, za zgodą nadzoru i Zamawiającego mogą posłużyć wyniki badań wykonanych w ramach zakładowej kontroli produkcji. </w:t>
      </w:r>
    </w:p>
    <w:p w:rsidR="00CD292D" w:rsidRDefault="00CD292D" w:rsidP="00CD292D">
      <w:pPr>
        <w:spacing w:before="120" w:after="120"/>
        <w:ind w:right="-57"/>
      </w:pPr>
      <w:r>
        <w:rPr>
          <w:color w:val="000000"/>
        </w:rPr>
        <w:t>6.5.1.1.</w:t>
      </w:r>
      <w:r>
        <w:rPr>
          <w:b/>
          <w:bCs/>
          <w:color w:val="000000"/>
        </w:rPr>
        <w:t xml:space="preserve"> </w:t>
      </w:r>
      <w:r>
        <w:rPr>
          <w:color w:val="000000"/>
        </w:rPr>
        <w:t>Kruszywa i wypełniacz</w:t>
      </w:r>
    </w:p>
    <w:p w:rsidR="00CD292D" w:rsidRDefault="00CD292D" w:rsidP="00CD292D">
      <w:pPr>
        <w:ind w:right="-57" w:firstLine="709"/>
      </w:pPr>
      <w:r>
        <w:rPr>
          <w:color w:val="000000"/>
        </w:rPr>
        <w:lastRenderedPageBreak/>
        <w:t xml:space="preserve">Z kruszywa należy pobrać i zbadać średnie próbki. Wielkość pobranej średniej próbki nie może być mniejsza niż: </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wypełniacz                                                         2 kg,</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kruszywa o uziarnieniu do 8 mm                       5 kg,</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kruszywa o uziarnieniu powyżej 8 mm              15 kg.</w:t>
      </w:r>
    </w:p>
    <w:p w:rsidR="00CD292D" w:rsidRDefault="00CD292D" w:rsidP="00CD292D">
      <w:pPr>
        <w:ind w:right="-57"/>
      </w:pPr>
      <w:r>
        <w:rPr>
          <w:color w:val="000000"/>
        </w:rPr>
        <w:t>            Wypełniacz i kruszywa powinny spełniać wymagania podane w pkcie  2.3. i 2.4.</w:t>
      </w:r>
    </w:p>
    <w:p w:rsidR="00CD292D" w:rsidRDefault="00CD292D" w:rsidP="00CD292D">
      <w:pPr>
        <w:spacing w:before="120" w:after="120"/>
        <w:ind w:right="-57"/>
      </w:pPr>
      <w:r>
        <w:rPr>
          <w:color w:val="000000"/>
        </w:rPr>
        <w:t xml:space="preserve">6.5.1.2. Lepiszcze </w:t>
      </w:r>
    </w:p>
    <w:p w:rsidR="00CD292D" w:rsidRDefault="00CD292D" w:rsidP="00CD292D">
      <w:pPr>
        <w:ind w:right="-57" w:firstLine="709"/>
      </w:pPr>
      <w:r>
        <w:rPr>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CD292D" w:rsidRDefault="00CD292D" w:rsidP="00CD292D">
      <w:pPr>
        <w:ind w:right="-57" w:firstLine="709"/>
      </w:pPr>
      <w:r>
        <w:rPr>
          <w:color w:val="000000"/>
        </w:rPr>
        <w:t>Asfalty powinny spełniać wymagania podane w pkcie 2.2.</w:t>
      </w:r>
    </w:p>
    <w:p w:rsidR="00CD292D" w:rsidRDefault="00CD292D" w:rsidP="00CD292D">
      <w:pPr>
        <w:spacing w:before="120" w:after="120"/>
        <w:ind w:right="-57"/>
      </w:pPr>
      <w:r>
        <w:rPr>
          <w:color w:val="000000"/>
        </w:rPr>
        <w:t xml:space="preserve">6.5.1.3. Materiały do uszczelniania połączeń </w:t>
      </w:r>
    </w:p>
    <w:p w:rsidR="00CD292D" w:rsidRDefault="00CD292D" w:rsidP="00CD292D">
      <w:pPr>
        <w:ind w:right="-57" w:firstLine="709"/>
      </w:pPr>
      <w:r>
        <w:t>Z lepiszcza lub materiałów termoplastycznych należy pobrać próbki średnie składające się z 3 próbek częściowych po 2 kg. Z tego jedną próbkę częściową należy</w:t>
      </w:r>
      <w:r>
        <w:rPr>
          <w:color w:val="000000"/>
        </w:rPr>
        <w:t xml:space="preserve"> poddać badaniom. Ponadto należy pobrać i zbadać kolejną próbkę, jeżeli zewnętrzny wygląd (jednolitość, kolor, połysk, zapach, zanieczyszczenia) może budzić obawy.</w:t>
      </w:r>
    </w:p>
    <w:p w:rsidR="00CD292D" w:rsidRDefault="00CD292D" w:rsidP="00CD292D">
      <w:pPr>
        <w:ind w:right="-57" w:firstLine="709"/>
      </w:pPr>
      <w:r>
        <w:rPr>
          <w:color w:val="000000"/>
        </w:rPr>
        <w:t>Materiały do uszczelniania połączeń powinny spełniać wymagania podane w pkcie 2.6.</w:t>
      </w:r>
    </w:p>
    <w:p w:rsidR="00CD292D" w:rsidRDefault="00CD292D" w:rsidP="00CD292D">
      <w:pPr>
        <w:keepNext/>
        <w:spacing w:before="120" w:after="120"/>
        <w:ind w:right="-57"/>
      </w:pPr>
      <w:r>
        <w:rPr>
          <w:b/>
          <w:bCs/>
          <w:color w:val="000000"/>
        </w:rPr>
        <w:t>6.5.2.</w:t>
      </w:r>
      <w:r>
        <w:rPr>
          <w:color w:val="000000"/>
        </w:rPr>
        <w:t xml:space="preserve"> Badania mieszanki mineralno-asfaltowej  </w:t>
      </w:r>
    </w:p>
    <w:p w:rsidR="00CD292D" w:rsidRDefault="00CD292D" w:rsidP="00CD292D">
      <w:pPr>
        <w:ind w:firstLine="709"/>
      </w:pPr>
      <w: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CD292D" w:rsidRDefault="00CD292D" w:rsidP="00CD292D">
      <w:pPr>
        <w:ind w:firstLine="709"/>
      </w:pPr>
      <w:r>
        <w:t xml:space="preserve">Do oceny jakości mieszanki mineralno-asfaltowej za zgodą nadzoru i Zamawiającego mogą posłużyć wyniki badań wykonanych w ramach zakładowej kontroli produkcji.  </w:t>
      </w:r>
    </w:p>
    <w:p w:rsidR="00CD292D" w:rsidRDefault="00CD292D" w:rsidP="00CD292D">
      <w:pPr>
        <w:ind w:firstLine="709"/>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CD292D" w:rsidRDefault="00CD292D" w:rsidP="00CD292D">
      <w:pPr>
        <w:ind w:firstLine="709"/>
      </w:pPr>
      <w:r>
        <w:t xml:space="preserve">Właściwości materiałów budowlanych należy określać dla każdej warstwy technologicznej, a metody badań powinny być zgodne z wymaganiami podanymi poniżej, chyba że ST lub dokumentacja projektowa podają inaczej. </w:t>
      </w:r>
    </w:p>
    <w:p w:rsidR="00CD292D" w:rsidRDefault="00CD292D" w:rsidP="00CD292D">
      <w:pPr>
        <w:keepNext/>
        <w:spacing w:before="120" w:after="120"/>
      </w:pPr>
      <w:r>
        <w:t xml:space="preserve">6.5.2.1. Uziarnienie </w:t>
      </w:r>
    </w:p>
    <w:p w:rsidR="00CD292D" w:rsidRDefault="00CD292D" w:rsidP="00CD292D">
      <w:pPr>
        <w:ind w:right="-57" w:firstLine="709"/>
      </w:pPr>
      <w:r>
        <w:rPr>
          <w:color w:val="00000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CD292D" w:rsidRDefault="00CD292D" w:rsidP="00CD292D">
      <w:pPr>
        <w:spacing w:before="120" w:after="120"/>
        <w:ind w:left="1134" w:hanging="1134"/>
      </w:pPr>
      <w:r>
        <w:rPr>
          <w:color w:val="000000"/>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88"/>
        <w:gridCol w:w="748"/>
        <w:gridCol w:w="1031"/>
        <w:gridCol w:w="1031"/>
        <w:gridCol w:w="1031"/>
        <w:gridCol w:w="1031"/>
        <w:gridCol w:w="906"/>
      </w:tblGrid>
      <w:tr w:rsidR="00CD292D" w:rsidTr="00CD292D">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ind w:right="-57"/>
              <w:jc w:val="center"/>
            </w:pPr>
            <w:r>
              <w:rPr>
                <w:color w:val="000000"/>
              </w:rPr>
              <w:t> </w:t>
            </w:r>
          </w:p>
          <w:p w:rsidR="00CD292D" w:rsidRDefault="00CD292D">
            <w:pPr>
              <w:ind w:right="-57"/>
              <w:jc w:val="center"/>
            </w:pPr>
            <w:r>
              <w:rPr>
                <w:color w:val="000000"/>
              </w:rPr>
              <w:lastRenderedPageBreak/>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lastRenderedPageBreak/>
              <w:t>Liczba wyników badań</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od 3</w:t>
            </w:r>
          </w:p>
          <w:p w:rsidR="00CD292D" w:rsidRDefault="00CD292D">
            <w:pPr>
              <w:ind w:right="-57"/>
              <w:jc w:val="center"/>
            </w:pPr>
            <w:r>
              <w:rPr>
                <w:color w:val="000000"/>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od 5 </w:t>
            </w:r>
          </w:p>
          <w:p w:rsidR="00CD292D" w:rsidRDefault="00CD292D">
            <w:pPr>
              <w:ind w:right="-57"/>
              <w:jc w:val="center"/>
            </w:pPr>
            <w:r>
              <w:rPr>
                <w:color w:val="000000"/>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od 9 </w:t>
            </w:r>
          </w:p>
          <w:p w:rsidR="00CD292D" w:rsidRDefault="00CD292D">
            <w:pPr>
              <w:ind w:right="-57"/>
              <w:jc w:val="center"/>
            </w:pPr>
            <w:r>
              <w:rPr>
                <w:color w:val="000000"/>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±1,5</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rPr>
                <w:color w:val="000000"/>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 xml:space="preserve">Ziarna grube </w:t>
            </w:r>
          </w:p>
          <w:p w:rsidR="00CD292D" w:rsidRDefault="00CD292D">
            <w:pPr>
              <w:ind w:right="-57"/>
            </w:pPr>
            <w:r>
              <w:rPr>
                <w:color w:val="000000"/>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ind w:right="-57"/>
              <w:jc w:val="center"/>
            </w:pPr>
            <w:r>
              <w:rPr>
                <w:color w:val="000000"/>
              </w:rPr>
              <w:t>±4,0</w:t>
            </w:r>
          </w:p>
        </w:tc>
      </w:tr>
      <w:tr w:rsidR="00CD292D" w:rsidTr="00CD292D">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 xml:space="preserve">Ziarna grube </w:t>
            </w:r>
          </w:p>
          <w:p w:rsidR="00CD292D" w:rsidRDefault="00CD292D">
            <w:pPr>
              <w:ind w:right="-57"/>
            </w:pPr>
            <w:r>
              <w:rPr>
                <w:color w:val="000000"/>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ind w:right="-57"/>
              <w:jc w:val="center"/>
            </w:pPr>
            <w:r>
              <w:rPr>
                <w:color w:val="000000"/>
              </w:rPr>
              <w:t>±5,0</w:t>
            </w:r>
          </w:p>
        </w:tc>
      </w:tr>
    </w:tbl>
    <w:p w:rsidR="00CD292D" w:rsidRDefault="00CD292D" w:rsidP="00CD292D">
      <w:pPr>
        <w:spacing w:before="120"/>
        <w:ind w:firstLine="709"/>
        <w:rPr>
          <w:rFonts w:eastAsiaTheme="minorEastAsia"/>
        </w:rPr>
      </w:pPr>
      <w:r>
        <w:rPr>
          <w:color w:val="000000"/>
        </w:rPr>
        <w:t>Jeżeli w składzie mieszanki mineralno-asfaltowej określono dodatki kruszywa o szczególnych właściwościach, np. kruszywo rozjaśniające lub odporne na polerowanie, to dopuszczalna odchyłka zawartości tego kruszywa wynosi:</w:t>
      </w:r>
    </w:p>
    <w:p w:rsidR="00CD292D" w:rsidRDefault="00CD292D" w:rsidP="00CD292D">
      <w:r>
        <w:rPr>
          <w:color w:val="000000"/>
        </w:rPr>
        <w:t>-  ± 20% w wypadku kruszywa grubego,</w:t>
      </w:r>
    </w:p>
    <w:p w:rsidR="00CD292D" w:rsidRDefault="00CD292D" w:rsidP="00CD292D">
      <w:r>
        <w:rPr>
          <w:color w:val="000000"/>
        </w:rPr>
        <w:t>-  ±30% w wypadku kruszywa drobnego.</w:t>
      </w:r>
    </w:p>
    <w:p w:rsidR="00CD292D" w:rsidRDefault="00CD292D" w:rsidP="00CD292D">
      <w:pPr>
        <w:spacing w:before="120" w:after="120"/>
      </w:pPr>
      <w:r>
        <w:rPr>
          <w:color w:val="000000"/>
        </w:rPr>
        <w:t xml:space="preserve">6.5.2.2. Zawartość lepiszcza </w:t>
      </w:r>
    </w:p>
    <w:p w:rsidR="00CD292D" w:rsidRDefault="00CD292D" w:rsidP="00CD292D">
      <w:pPr>
        <w:ind w:right="-57" w:firstLine="709"/>
      </w:pPr>
      <w:r>
        <w:rPr>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CD292D" w:rsidRDefault="00CD292D" w:rsidP="00CD292D">
      <w:pPr>
        <w:spacing w:before="120" w:after="120"/>
        <w:ind w:left="1200" w:right="-57" w:hanging="1200"/>
      </w:pPr>
      <w:r>
        <w:rPr>
          <w:color w:val="000000"/>
        </w:rPr>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CD292D" w:rsidTr="00CD292D">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spacing w:before="120"/>
              <w:ind w:right="-57"/>
              <w:jc w:val="center"/>
            </w:pPr>
            <w:r>
              <w:rPr>
                <w:color w:val="000000"/>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Liczba wyników badań</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5</w:t>
            </w:r>
          </w:p>
          <w:p w:rsidR="00CD292D" w:rsidRDefault="00CD292D">
            <w:pPr>
              <w:ind w:right="-57"/>
              <w:jc w:val="center"/>
            </w:pPr>
            <w:r>
              <w:rPr>
                <w:color w:val="000000"/>
              </w:rPr>
              <w:t>do 8</w:t>
            </w:r>
            <w:r>
              <w:rPr>
                <w:color w:val="000000"/>
                <w:vertAlign w:val="superscript"/>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9</w:t>
            </w:r>
          </w:p>
          <w:p w:rsidR="00CD292D" w:rsidRDefault="00CD292D">
            <w:pPr>
              <w:ind w:right="-57"/>
              <w:jc w:val="center"/>
            </w:pPr>
            <w:r>
              <w:rPr>
                <w:color w:val="000000"/>
              </w:rPr>
              <w:t>do 19</w:t>
            </w:r>
            <w:r>
              <w:rPr>
                <w:color w:val="000000"/>
                <w:vertAlign w:val="superscript"/>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color w:val="000000"/>
              </w:rPr>
              <w:t>≥20</w:t>
            </w:r>
          </w:p>
        </w:tc>
      </w:tr>
      <w:tr w:rsidR="00CD292D" w:rsidTr="00CD292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±0,30</w:t>
            </w:r>
          </w:p>
        </w:tc>
      </w:tr>
      <w:tr w:rsidR="00CD292D" w:rsidTr="00CD292D">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±0,30</w:t>
            </w:r>
          </w:p>
        </w:tc>
      </w:tr>
      <w:tr w:rsidR="00CD292D" w:rsidTr="00CD292D">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426" w:right="-57" w:hanging="360"/>
            </w:pPr>
            <w:r>
              <w:rPr>
                <w:color w:val="000000"/>
                <w:sz w:val="20"/>
                <w:szCs w:val="20"/>
              </w:rPr>
              <w:lastRenderedPageBreak/>
              <w:t>a)</w:t>
            </w:r>
            <w:r>
              <w:rPr>
                <w:color w:val="000000"/>
                <w:sz w:val="14"/>
                <w:szCs w:val="14"/>
              </w:rPr>
              <w:t xml:space="preserve">       </w:t>
            </w:r>
            <w:r>
              <w:rPr>
                <w:color w:val="000000"/>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CD292D" w:rsidRDefault="00CD292D" w:rsidP="00CD292D">
      <w:pPr>
        <w:spacing w:before="120" w:after="120"/>
        <w:rPr>
          <w:rFonts w:eastAsiaTheme="minorEastAsia"/>
        </w:rPr>
      </w:pPr>
      <w:r>
        <w:rPr>
          <w:color w:val="000000"/>
        </w:rPr>
        <w:t xml:space="preserve">6.5.2.3. Temperatura mięknienia i nawrót sprężysty lepiszcza odzyskanego </w:t>
      </w:r>
    </w:p>
    <w:p w:rsidR="00CD292D" w:rsidRDefault="00CD292D" w:rsidP="00CD292D">
      <w:pPr>
        <w:ind w:firstLine="709"/>
      </w:pPr>
      <w: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CD292D" w:rsidRDefault="00CD292D" w:rsidP="00CD292D">
      <w:pPr>
        <w:ind w:firstLine="709"/>
      </w:pPr>
      <w:r>
        <w:t>Temperatura mięknienia polimeroasfaltu wyekstrahowanego z mieszanki mineralno asfaltowej nie powinna przekroczyć wartości dopuszczalnych podanych w tablicy 28.</w:t>
      </w:r>
    </w:p>
    <w:p w:rsidR="00CD292D" w:rsidRDefault="00CD292D" w:rsidP="00CD292D">
      <w:pPr>
        <w:spacing w:before="120" w:after="120"/>
        <w:ind w:left="1276" w:hanging="1276"/>
      </w:pPr>
      <w:r>
        <w:rPr>
          <w:color w:val="000000"/>
        </w:rPr>
        <w:t>Tablica 28.    Najwyższa temperatura mięknienia wyekstrahowanego polimeroasfaltu drogowego</w:t>
      </w:r>
    </w:p>
    <w:tbl>
      <w:tblPr>
        <w:tblW w:w="0" w:type="auto"/>
        <w:tblCellMar>
          <w:left w:w="0" w:type="dxa"/>
          <w:right w:w="0" w:type="dxa"/>
        </w:tblCellMar>
        <w:tblLook w:val="04A0" w:firstRow="1" w:lastRow="0" w:firstColumn="1" w:lastColumn="0" w:noHBand="0" w:noVBand="1"/>
      </w:tblPr>
      <w:tblGrid>
        <w:gridCol w:w="3755"/>
        <w:gridCol w:w="3756"/>
      </w:tblGrid>
      <w:tr w:rsidR="00CD292D" w:rsidTr="00CD292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ind w:right="57"/>
              <w:jc w:val="center"/>
            </w:pPr>
            <w:r>
              <w:rPr>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ind w:right="57"/>
              <w:jc w:val="center"/>
            </w:pPr>
            <w:r>
              <w:rPr>
                <w:color w:val="000000"/>
              </w:rPr>
              <w:t>Najwyższa temperatura mięknienia, °C</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73</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83</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57"/>
              <w:jc w:val="center"/>
            </w:pPr>
            <w:r>
              <w:rPr>
                <w:color w:val="000000"/>
              </w:rPr>
              <w:t>Nie dotyczy</w:t>
            </w:r>
          </w:p>
        </w:tc>
      </w:tr>
    </w:tbl>
    <w:p w:rsidR="00CD292D" w:rsidRDefault="00CD292D" w:rsidP="00CD292D">
      <w:pPr>
        <w:spacing w:before="240"/>
        <w:ind w:firstLine="709"/>
        <w:rPr>
          <w:rFonts w:eastAsiaTheme="minorEastAsia"/>
        </w:rPr>
      </w:pPr>
      <w: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CD292D" w:rsidRDefault="00CD292D" w:rsidP="00CD292D">
      <w:pPr>
        <w:ind w:firstLine="709"/>
      </w:pPr>
      <w:r>
        <w:t>Najwyższa dopuszczalna temperatura mięknienia wyekstrahowanego polimeroasfaltu = temperatura mięknienia zbadanej dostawy na wytwórnię + dopuszczalny wg Załącznika krajowego NA do PN-EN 14023 [64a] wzrost temperatury mięknienia po starzeniu RTFOT.</w:t>
      </w:r>
    </w:p>
    <w:p w:rsidR="00CD292D" w:rsidRDefault="00CD292D" w:rsidP="00CD292D">
      <w:pPr>
        <w:ind w:firstLine="709"/>
      </w:pPr>
      <w: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rsidR="00CD292D" w:rsidRDefault="00CD292D" w:rsidP="00CD292D">
      <w:pPr>
        <w:keepNext/>
        <w:spacing w:before="120" w:after="120"/>
        <w:ind w:right="-57"/>
      </w:pPr>
      <w:r>
        <w:rPr>
          <w:color w:val="000000"/>
        </w:rPr>
        <w:t>6.5.2.4. Gęstość i zawartość wolnych przestrzeni</w:t>
      </w:r>
    </w:p>
    <w:p w:rsidR="00CD292D" w:rsidRDefault="00CD292D" w:rsidP="00CD292D">
      <w:pPr>
        <w:ind w:right="-57" w:firstLine="709"/>
      </w:pPr>
      <w:r>
        <w:rPr>
          <w:color w:val="000000"/>
        </w:rPr>
        <w:t>Zawartość wolnych przestrzeni w próbce Marshalla pobranej z mieszanki mineralno-asfaltowej lub wyjątkowo powtórnie rozgrzanej próbki pobranej z nawierzchni nie może wykroczyć poza wartości podane w pkcie 2.10 o więcej niż 1,5% (v/v).</w:t>
      </w:r>
    </w:p>
    <w:p w:rsidR="00CD292D" w:rsidRDefault="00CD292D" w:rsidP="00CD292D">
      <w:pPr>
        <w:spacing w:before="120" w:after="120"/>
      </w:pPr>
      <w:r>
        <w:rPr>
          <w:b/>
          <w:bCs/>
        </w:rPr>
        <w:t xml:space="preserve">6.5.3. </w:t>
      </w:r>
      <w:r>
        <w:t xml:space="preserve">Warunki technologiczne wbudowywania mieszanki mineralno-asfaltowej </w:t>
      </w:r>
    </w:p>
    <w:p w:rsidR="00CD292D" w:rsidRDefault="00CD292D" w:rsidP="00CD292D">
      <w:pPr>
        <w:ind w:firstLine="709"/>
      </w:pPr>
      <w:r>
        <w:t xml:space="preserve">Temperatura powietrza powinna być mierzona przed i w czasie robót; nie powinna być mniejsza niż podano w tablicy 23.  </w:t>
      </w:r>
    </w:p>
    <w:p w:rsidR="00CD292D" w:rsidRDefault="00CD292D" w:rsidP="00CD292D">
      <w:pPr>
        <w:ind w:firstLine="709"/>
      </w:pPr>
      <w: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w:t>
      </w:r>
      <w:r>
        <w:lastRenderedPageBreak/>
        <w:t xml:space="preserve">niska do uzyskania odpowiedniego zagęszczenia, to należy wykonać zakończenie działki roboczej i rozpocząć proces układania jak dla nowej. </w:t>
      </w:r>
    </w:p>
    <w:p w:rsidR="00CD292D" w:rsidRDefault="00CD292D" w:rsidP="00CD292D">
      <w:pPr>
        <w:ind w:firstLine="709"/>
      </w:pPr>
      <w:r>
        <w:t xml:space="preserve">Pomiar temperatury mieszanki  mineralno-asfaltowej należy wykonać zgodnie z wymaganiami normy PN-EN 12697-13 [38]. </w:t>
      </w:r>
    </w:p>
    <w:p w:rsidR="00CD292D" w:rsidRDefault="00CD292D" w:rsidP="00CD292D">
      <w:pPr>
        <w:ind w:firstLine="709"/>
      </w:pPr>
      <w: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CD292D" w:rsidRDefault="00CD292D" w:rsidP="00CD292D">
      <w:pPr>
        <w:spacing w:before="120" w:after="120"/>
      </w:pPr>
      <w:r>
        <w:rPr>
          <w:b/>
          <w:bCs/>
        </w:rPr>
        <w:t>6.5.4.</w:t>
      </w:r>
      <w:r>
        <w:t xml:space="preserve"> Wykonana warstwa</w:t>
      </w:r>
    </w:p>
    <w:p w:rsidR="00CD292D" w:rsidRDefault="00CD292D" w:rsidP="00CD292D">
      <w:pPr>
        <w:spacing w:after="120"/>
        <w:ind w:right="-57"/>
      </w:pPr>
      <w:r>
        <w:rPr>
          <w:color w:val="000000"/>
        </w:rPr>
        <w:t xml:space="preserve">6.5.4.1. Wskaźnik zagęszczenia i zawartość wolnych przestrzeni </w:t>
      </w:r>
    </w:p>
    <w:p w:rsidR="00CD292D" w:rsidRDefault="00CD292D" w:rsidP="00CD292D">
      <w:pPr>
        <w:ind w:firstLine="709"/>
      </w:pPr>
      <w:r>
        <w:rPr>
          <w:color w:val="000000"/>
        </w:rPr>
        <w:t xml:space="preserve">Zagęszczenie wykonanej warstwy wyrażone wskaźnikiem zagęszczenia oraz zawartością wolnych przestrzeni nie może przekroczyć wartości dopuszczalnych  podanych w tablicy 29. </w:t>
      </w:r>
      <w:r>
        <w:t>Dotyczy to każdego pojedynczego oznaczenia danej właściwości.</w:t>
      </w:r>
    </w:p>
    <w:p w:rsidR="00CD292D" w:rsidRDefault="00CD292D" w:rsidP="00CD292D">
      <w:r>
        <w:t>            Określenie gęstości objętościowej należy wykonywać według PN-EN 12697-6 [34].</w:t>
      </w:r>
    </w:p>
    <w:p w:rsidR="00CD292D" w:rsidRDefault="00CD292D" w:rsidP="00CD292D">
      <w:pPr>
        <w:spacing w:before="120" w:after="120"/>
      </w:pPr>
      <w: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CD292D" w:rsidTr="00CD292D">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Wskaźnik zagęszczenia</w:t>
            </w:r>
          </w:p>
          <w:p w:rsidR="00CD292D" w:rsidRDefault="00CD292D">
            <w:pPr>
              <w:ind w:right="-421"/>
            </w:pPr>
            <w: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Zawartość wolnych przestrzeni w warstwie  [%(v/v)]</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 ÷ 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 ÷ 4,5</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1,0 ÷ 4,5</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r w:rsidR="00CD292D" w:rsidTr="00CD292D">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pPr>
            <w: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40" w:after="40"/>
              <w:jc w:val="center"/>
            </w:pPr>
            <w:r>
              <w:t>2,0÷5,0</w:t>
            </w:r>
          </w:p>
        </w:tc>
      </w:tr>
    </w:tbl>
    <w:p w:rsidR="00CD292D" w:rsidRDefault="00CD292D" w:rsidP="00CD292D">
      <w:pPr>
        <w:spacing w:before="120" w:after="120"/>
        <w:ind w:right="-57" w:firstLine="709"/>
        <w:rPr>
          <w:rFonts w:eastAsiaTheme="minorEastAsia"/>
        </w:rPr>
      </w:pPr>
      <w:r>
        <w:rPr>
          <w:color w:val="000000"/>
        </w:rPr>
        <w:t>Wskaźnik zagęszczenia i zawartość wolnych przestrzeni  należy badać dla każdej warstwy i na każde rozpoczęte 6000 m</w:t>
      </w:r>
      <w:r>
        <w:rPr>
          <w:color w:val="000000"/>
          <w:vertAlign w:val="superscript"/>
        </w:rPr>
        <w:t>2</w:t>
      </w:r>
      <w:r>
        <w:rPr>
          <w:color w:val="000000"/>
        </w:rPr>
        <w:t xml:space="preserve"> nawierzchni jedna próbka; w razie potrzeby liczba próbek może zostać zwiększona (np. nawierzchnie mostowe).</w:t>
      </w:r>
    </w:p>
    <w:p w:rsidR="00CD292D" w:rsidRDefault="00CD292D" w:rsidP="00CD292D">
      <w:pPr>
        <w:keepNext/>
        <w:spacing w:after="120"/>
        <w:ind w:right="-57"/>
      </w:pPr>
      <w:r>
        <w:rPr>
          <w:color w:val="000000"/>
        </w:rPr>
        <w:t> 6.5.4.2. Grubość warstwy   </w:t>
      </w:r>
    </w:p>
    <w:p w:rsidR="00CD292D" w:rsidRDefault="00CD292D" w:rsidP="00CD292D">
      <w:pPr>
        <w:ind w:firstLine="709"/>
      </w:pPr>
      <w: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CD292D" w:rsidRDefault="00CD292D" w:rsidP="00CD292D">
      <w:pPr>
        <w:spacing w:before="120" w:after="120"/>
        <w:ind w:left="992" w:hanging="992"/>
      </w:pPr>
      <w: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D292D" w:rsidTr="00CD292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 xml:space="preserve">Pakiet: warstwa ścieralna+wiążąca </w:t>
            </w:r>
            <w:r>
              <w:lastRenderedPageBreak/>
              <w:t>+podbudowa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lastRenderedPageBreak/>
              <w:t>Warstwa ścieralna</w:t>
            </w:r>
          </w:p>
        </w:tc>
      </w:tr>
      <w:tr w:rsidR="00CD292D" w:rsidTr="00CD292D">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CD292D" w:rsidRDefault="00CD292D">
            <w: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jc w:val="center"/>
            </w:pPr>
            <w: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jc w:val="center"/>
            </w:pPr>
            <w:r>
              <w:t>Nie dopuszcza się zaniżenia grubości</w:t>
            </w:r>
          </w:p>
        </w:tc>
      </w:tr>
      <w:tr w:rsidR="00CD292D" w:rsidTr="00CD292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0÷5%</w:t>
            </w:r>
          </w:p>
        </w:tc>
      </w:tr>
    </w:tbl>
    <w:p w:rsidR="00CD292D" w:rsidRDefault="00CD292D" w:rsidP="00CD292D">
      <w:pPr>
        <w:spacing w:before="120"/>
        <w:ind w:firstLine="709"/>
        <w:rPr>
          <w:rFonts w:eastAsiaTheme="minorEastAsia"/>
        </w:rPr>
      </w:pPr>
      <w:r>
        <w:t>Należy sprawdzić zachowanie zasady mówiącej, że grubość warstwy musi być co najmniej dwuipółkrotnie większa od wymiaru D kruszywa danej mieszanki (h ≥ 2,5×D).</w:t>
      </w:r>
    </w:p>
    <w:p w:rsidR="00CD292D" w:rsidRDefault="00CD292D" w:rsidP="00CD292D">
      <w:pPr>
        <w:ind w:firstLine="709"/>
      </w:pPr>
      <w:r>
        <w:t>Zwiększone grubości poszczególnych warstw będą zaliczane jako wyrównanie ewentualnych niedoborów niżej leżącej warstwy.</w:t>
      </w:r>
    </w:p>
    <w:p w:rsidR="00CD292D" w:rsidRDefault="00CD292D" w:rsidP="00CD292D">
      <w:pPr>
        <w:spacing w:before="120" w:after="120"/>
      </w:pPr>
      <w:r>
        <w:t>6.5.4.3. Spadki poprzeczne</w:t>
      </w:r>
    </w:p>
    <w:p w:rsidR="00CD292D" w:rsidRDefault="00CD292D" w:rsidP="00CD292D">
      <w:r>
        <w:t>            Spadki poprzeczne nawierzchni należy badać nie rzadziej niż co 20 m oraz w punktach głównych łuków poziomych.</w:t>
      </w:r>
    </w:p>
    <w:p w:rsidR="00CD292D" w:rsidRDefault="00CD292D" w:rsidP="00CD292D">
      <w:pPr>
        <w:ind w:firstLine="709"/>
      </w:pPr>
      <w:r>
        <w:t>Spadki poprzeczne powinny być zgodne z dokumentacją projektową, z tolerancją  </w:t>
      </w:r>
      <w:r>
        <w:rPr>
          <w:rFonts w:ascii="Symbol" w:hAnsi="Symbol"/>
          <w:color w:val="000000"/>
        </w:rPr>
        <w:t></w:t>
      </w:r>
      <w:r>
        <w:rPr>
          <w:color w:val="000000"/>
        </w:rPr>
        <w:t xml:space="preserve"> 0,5%. </w:t>
      </w:r>
    </w:p>
    <w:p w:rsidR="00CD292D" w:rsidRDefault="00CD292D" w:rsidP="00CD292D">
      <w:pPr>
        <w:spacing w:before="120" w:after="120"/>
      </w:pPr>
      <w:r>
        <w:t xml:space="preserve">6.5.4.4. Równość </w:t>
      </w:r>
    </w:p>
    <w:p w:rsidR="00CD292D" w:rsidRDefault="00CD292D" w:rsidP="00CD292D">
      <w:pPr>
        <w:spacing w:after="120"/>
      </w:pPr>
      <w:r>
        <w:t>a) Równość podłużna</w:t>
      </w:r>
    </w:p>
    <w:p w:rsidR="00CD292D" w:rsidRDefault="00CD292D" w:rsidP="00CD292D">
      <w:pPr>
        <w:ind w:firstLine="709"/>
      </w:pPr>
      <w:r>
        <w:t>W pomiarach równości podłużnej warstw konstrukcji nawierzchni należy stosować metody:</w:t>
      </w:r>
    </w:p>
    <w:p w:rsidR="00CD292D" w:rsidRDefault="00CD292D" w:rsidP="00CD292D">
      <w:pPr>
        <w:ind w:left="284" w:hanging="284"/>
      </w:pPr>
      <w:r>
        <w:t>1)</w:t>
      </w:r>
      <w:r>
        <w:rPr>
          <w:sz w:val="14"/>
          <w:szCs w:val="14"/>
        </w:rPr>
        <w:t xml:space="preserve">        </w:t>
      </w:r>
      <w:r>
        <w:t>profilometryczną bazującą na wskaźnikach równości IRI,</w:t>
      </w:r>
    </w:p>
    <w:p w:rsidR="00CD292D" w:rsidRDefault="00CD292D" w:rsidP="00CD292D">
      <w:pPr>
        <w:ind w:left="284" w:hanging="284"/>
      </w:pPr>
      <w:r>
        <w:t>2)</w:t>
      </w:r>
      <w:r>
        <w:rPr>
          <w:sz w:val="14"/>
          <w:szCs w:val="14"/>
        </w:rPr>
        <w:t xml:space="preserve">        </w:t>
      </w:r>
      <w:r>
        <w:t>pomiaru ciągłego równoważną użyciu łaty i klina np. z wykorzystaniem planografu (w miejscach niedostępnych dla planografu pomiar z użyciem łaty i klina). Długość łaty w pomiarze równości podłużnej powinna wynosić 4 m.</w:t>
      </w:r>
    </w:p>
    <w:p w:rsidR="00CD292D" w:rsidRDefault="00CD292D" w:rsidP="00CD292D">
      <w:pPr>
        <w:ind w:firstLine="709"/>
      </w:pPr>
      <w: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CD292D" w:rsidRDefault="00CD292D" w:rsidP="00CD292D">
      <w:pPr>
        <w:ind w:firstLine="709"/>
      </w:pPr>
      <w: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CD292D" w:rsidRDefault="00CD292D" w:rsidP="00CD292D">
      <w:pPr>
        <w:ind w:firstLine="709"/>
      </w:pPr>
      <w:r>
        <w:t>Do oceny równości podłużnej 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CD292D" w:rsidRDefault="00CD292D" w:rsidP="00CD292D">
      <w:pPr>
        <w:ind w:firstLine="709"/>
      </w:pPr>
      <w:r>
        <w:t>W miejscach niedostępnych dla planografu pomiar równości podłużnej warstw nawierzchni należy wykonać w sposób ciągły z użyciem łaty i klina.</w:t>
      </w:r>
    </w:p>
    <w:p w:rsidR="00CD292D" w:rsidRDefault="00CD292D" w:rsidP="00CD292D">
      <w:pPr>
        <w:ind w:firstLine="709"/>
      </w:pPr>
      <w:r>
        <w:lastRenderedPageBreak/>
        <w:t>Wymagana równość podłużna jest określona przez dopuszczalną wartość średnią</w:t>
      </w:r>
    </w:p>
    <w:p w:rsidR="00CD292D" w:rsidRDefault="00CD292D" w:rsidP="00CD292D">
      <w:r>
        <w:t>wyników pomiaru IRI</w:t>
      </w:r>
      <w:r>
        <w:rPr>
          <w:vertAlign w:val="subscript"/>
        </w:rPr>
        <w:t>śr</w:t>
      </w:r>
      <w:r>
        <w:t xml:space="preserve"> oraz dopuszczalną wartość maksymalną pojedynczego pomiaru</w:t>
      </w:r>
    </w:p>
    <w:p w:rsidR="00CD292D" w:rsidRDefault="00CD292D" w:rsidP="00CD292D">
      <w:r>
        <w:t>IRI</w:t>
      </w:r>
      <w:r>
        <w:rPr>
          <w:vertAlign w:val="subscript"/>
        </w:rPr>
        <w:t>max</w:t>
      </w:r>
      <w:r>
        <w:t>, których nie można przekroczyć na długości ocenianego odcinka nawierzchni.</w:t>
      </w:r>
    </w:p>
    <w:p w:rsidR="00CD292D" w:rsidRDefault="00CD292D" w:rsidP="00CD292D">
      <w:r>
        <w:t>Maksymalne wartości dla warstwy ścieralnej oznaczone metodą profilometryczną określa</w:t>
      </w:r>
    </w:p>
    <w:p w:rsidR="00CD292D" w:rsidRDefault="00CD292D" w:rsidP="00CD292D">
      <w:r>
        <w:t>tablica 31.</w:t>
      </w:r>
    </w:p>
    <w:p w:rsidR="00CD292D" w:rsidRDefault="00CD292D" w:rsidP="00CD292D">
      <w:pPr>
        <w:spacing w:before="120" w:after="120"/>
        <w:ind w:left="1134" w:hanging="1134"/>
      </w:pPr>
      <w: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CD292D" w:rsidTr="00CD292D">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Maksymalne wartości wskaźników dla zadanego zakresu długości odcinka drogi [mm/m]</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Verdana" w:hAnsi="Verdana"/>
                <w:sz w:val="20"/>
                <w:szCs w:val="20"/>
              </w:rPr>
              <w:t>IRI</w:t>
            </w:r>
            <w:r>
              <w:rPr>
                <w:rFonts w:ascii="Verdana" w:hAnsi="Verdana"/>
                <w:sz w:val="13"/>
                <w:szCs w:val="13"/>
              </w:rPr>
              <w:t>śr*</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Verdana" w:hAnsi="Verdana"/>
                <w:sz w:val="20"/>
                <w:szCs w:val="20"/>
              </w:rPr>
              <w:t>IRI</w:t>
            </w:r>
            <w:r>
              <w:rPr>
                <w:rFonts w:ascii="Verdana" w:hAnsi="Verdana"/>
                <w:sz w:val="13"/>
                <w:szCs w:val="13"/>
              </w:rPr>
              <w:t>max</w:t>
            </w:r>
          </w:p>
        </w:tc>
      </w:tr>
      <w:tr w:rsidR="00CD292D" w:rsidTr="00CD292D">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2,4</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2,7</w:t>
            </w:r>
          </w:p>
        </w:tc>
      </w:tr>
      <w:tr w:rsidR="00CD292D" w:rsidTr="00CD292D">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3,4</w:t>
            </w:r>
          </w:p>
        </w:tc>
      </w:tr>
      <w:tr w:rsidR="00CD292D" w:rsidTr="00CD292D">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rPr>
                <w:sz w:val="20"/>
                <w:szCs w:val="20"/>
              </w:rPr>
              <w:t>* w przypadku:</w:t>
            </w:r>
          </w:p>
          <w:p w:rsidR="00CD292D" w:rsidRDefault="00CD292D">
            <w:r>
              <w:rPr>
                <w:sz w:val="20"/>
                <w:szCs w:val="20"/>
              </w:rPr>
              <w:t>− odbioru odcinków warstwy nawierzchni o całkowitej długości mniejszej niż 500 m,</w:t>
            </w:r>
          </w:p>
          <w:p w:rsidR="00CD292D" w:rsidRDefault="00CD292D">
            <w:pPr>
              <w:ind w:left="168" w:hanging="168"/>
            </w:pPr>
            <w:r>
              <w:rPr>
                <w:sz w:val="20"/>
                <w:szCs w:val="20"/>
              </w:rPr>
              <w:t>− odbioru robót polegających na ułożeniu na istniejącej nawierzchni jedynie warstwy ścieralnej (niezależnie od długości odcinka robot),</w:t>
            </w:r>
          </w:p>
          <w:p w:rsidR="00CD292D" w:rsidRDefault="00CD292D">
            <w:r>
              <w:rPr>
                <w:sz w:val="20"/>
                <w:szCs w:val="20"/>
              </w:rPr>
              <w:t>dopuszczalną wartość IRIśr wg tablicy należy zwiększyć o 0,2 mm/m.</w:t>
            </w:r>
          </w:p>
        </w:tc>
      </w:tr>
    </w:tbl>
    <w:p w:rsidR="00CD292D" w:rsidRDefault="00CD292D" w:rsidP="00CD292D">
      <w:pPr>
        <w:spacing w:before="120"/>
        <w:ind w:firstLine="709"/>
        <w:rPr>
          <w:rFonts w:eastAsiaTheme="minorEastAsia"/>
        </w:rPr>
      </w:pPr>
      <w:r>
        <w:t>Maksymalne wartości odchyleń równości podłużnej dla warstwy oznaczone pomiarem ciągłym równoważnym użyciu łaty i klina np. z wykorzystaniem planografu, łaty i klina określa tablica 32.</w:t>
      </w:r>
    </w:p>
    <w:p w:rsidR="00CD292D" w:rsidRDefault="00CD292D" w:rsidP="00CD292D">
      <w:pPr>
        <w:spacing w:before="120" w:after="120"/>
        <w:ind w:left="1134" w:hanging="1134"/>
      </w:pPr>
      <w: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CD292D" w:rsidTr="00CD292D">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D292D" w:rsidRDefault="00CD292D">
            <w:pPr>
              <w:jc w:val="center"/>
            </w:pPr>
            <w:r>
              <w:t xml:space="preserve">Maksymalne wartości odchyleń równości podłużnej </w:t>
            </w:r>
            <w:r>
              <w:lastRenderedPageBreak/>
              <w:t>warstwy [mm] dla warstwy ścieralnej</w:t>
            </w:r>
          </w:p>
        </w:tc>
      </w:tr>
      <w:tr w:rsidR="00CD292D" w:rsidTr="00CD292D">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lastRenderedPageBreak/>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w:t>
            </w:r>
          </w:p>
        </w:tc>
      </w:tr>
      <w:tr w:rsidR="00CD292D" w:rsidTr="00CD292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6</w:t>
            </w:r>
          </w:p>
          <w:p w:rsidR="00CD292D" w:rsidRDefault="00CD292D">
            <w:pPr>
              <w:jc w:val="center"/>
            </w:pPr>
            <w:r>
              <w:t>(dotyczy jedynie klasy Z)</w:t>
            </w:r>
          </w:p>
        </w:tc>
      </w:tr>
      <w:tr w:rsidR="00CD292D" w:rsidTr="00CD292D">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92D" w:rsidRDefault="00CD292D">
            <w:r>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D292D" w:rsidRDefault="00CD292D">
            <w:pPr>
              <w:jc w:val="center"/>
            </w:pPr>
            <w:r>
              <w:t>9</w:t>
            </w:r>
          </w:p>
        </w:tc>
      </w:tr>
    </w:tbl>
    <w:p w:rsidR="00CD292D" w:rsidRDefault="00CD292D" w:rsidP="00CD292D">
      <w:pPr>
        <w:rPr>
          <w:rFonts w:eastAsiaTheme="minorEastAsia"/>
        </w:rPr>
      </w:pPr>
      <w:r>
        <w:rPr>
          <w:rFonts w:ascii="Verdana" w:hAnsi="Verdana"/>
          <w:sz w:val="20"/>
          <w:szCs w:val="20"/>
        </w:rPr>
        <w:t> </w:t>
      </w:r>
    </w:p>
    <w:p w:rsidR="00CD292D" w:rsidRDefault="00CD292D" w:rsidP="00CD292D">
      <w:r>
        <w:t>b) Równość poprzeczna</w:t>
      </w:r>
    </w:p>
    <w:p w:rsidR="00CD292D" w:rsidRDefault="00CD292D" w:rsidP="00CD292D">
      <w:pPr>
        <w:ind w:firstLine="709"/>
      </w:pPr>
      <w: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CD292D" w:rsidRDefault="00CD292D" w:rsidP="00CD292D">
      <w:pPr>
        <w:ind w:firstLine="709"/>
      </w:pPr>
      <w:r>
        <w:t>W miejscach niedostępnych dla profilografu pomiar równości poprzecznej warstw</w:t>
      </w:r>
    </w:p>
    <w:p w:rsidR="00CD292D" w:rsidRDefault="00CD292D" w:rsidP="00CD292D">
      <w:r>
        <w:t>nawierzchni należy wykonać z użyciem łaty i klina. Długość łaty w pomiarze równości</w:t>
      </w:r>
    </w:p>
    <w:p w:rsidR="00CD292D" w:rsidRDefault="00CD292D" w:rsidP="00CD292D">
      <w:r>
        <w:t>poprzecznej powinna wynosić 2 m. Pomiar powinien być wykonywany nie rzadziej niż co</w:t>
      </w:r>
    </w:p>
    <w:p w:rsidR="00CD292D" w:rsidRDefault="00CD292D" w:rsidP="00CD292D">
      <w:r>
        <w:t>5 m.</w:t>
      </w:r>
    </w:p>
    <w:p w:rsidR="00CD292D" w:rsidRDefault="00CD292D" w:rsidP="00CD292D">
      <w:pPr>
        <w:ind w:firstLine="709"/>
      </w:pPr>
      <w:r>
        <w:t>Maksymalne wartości odchyleń równości poprzecznej określa tablica 33.</w:t>
      </w:r>
    </w:p>
    <w:p w:rsidR="00CD292D" w:rsidRDefault="00CD292D" w:rsidP="00CD292D">
      <w:pPr>
        <w:spacing w:before="120" w:after="120"/>
      </w:pPr>
      <w: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CD292D" w:rsidTr="00CD292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Maksymalne wartości odchyleń równości poprzecznej warstwy [mm] dla warstwy ścieralnej</w:t>
            </w:r>
          </w:p>
        </w:tc>
      </w:tr>
      <w:tr w:rsidR="00CD292D" w:rsidTr="00CD292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bl>
    <w:p w:rsidR="00CD292D" w:rsidRDefault="00CD292D" w:rsidP="00CD292D">
      <w:pPr>
        <w:rPr>
          <w:rFonts w:eastAsiaTheme="minorEastAsia"/>
        </w:rPr>
      </w:pPr>
      <w:r>
        <w:rPr>
          <w:rFonts w:ascii="Verdana" w:hAnsi="Verdana"/>
          <w:sz w:val="20"/>
          <w:szCs w:val="20"/>
        </w:rPr>
        <w:t> </w:t>
      </w:r>
    </w:p>
    <w:p w:rsidR="00CD292D" w:rsidRDefault="00CD292D" w:rsidP="00CD292D">
      <w:r>
        <w:t xml:space="preserve">6.5.4.5. Złącza technologiczne </w:t>
      </w:r>
    </w:p>
    <w:p w:rsidR="00CD292D" w:rsidRDefault="00CD292D" w:rsidP="00CD292D">
      <w:pPr>
        <w:ind w:firstLine="709"/>
      </w:pPr>
      <w:r>
        <w:t>Złącza podłużne i poprzeczne, sprawdzone wizualnie, powinny być równe i związane, wykonane w linii prostej, równolegle lub prostopadle do osi drogi. Przylegające warstwy powinny być w jednym poziomie.</w:t>
      </w:r>
    </w:p>
    <w:p w:rsidR="00CD292D" w:rsidRDefault="00CD292D" w:rsidP="00CD292D">
      <w:pPr>
        <w:spacing w:before="120" w:after="120"/>
      </w:pPr>
      <w:r>
        <w:t xml:space="preserve">6.5.4.6. Szerokość warstwy </w:t>
      </w:r>
    </w:p>
    <w:p w:rsidR="00CD292D" w:rsidRDefault="00CD292D" w:rsidP="00CD292D">
      <w:pPr>
        <w:ind w:firstLine="709"/>
      </w:pPr>
      <w:r>
        <w:t>Szerokość warstwy, mierzona 10 razy na 1 km każdej jezdni powinna być zgodna z dokumentacją projektową, z tolerancją  w zakresie od 0</w:t>
      </w:r>
      <w:r>
        <w:rPr>
          <w:color w:val="000000"/>
        </w:rPr>
        <w:t xml:space="preserve"> do </w:t>
      </w:r>
      <w:r>
        <w:t>+5 cm, przy czym szerokość warstwy wiążącej powinna być odpowiednio szersza, tak aby stanowiła odsadzkę dla warstwy ścieralnej. W przypadku wyprofilowanej ukośnej krawędzi szerokość należy mierzyć w środku linii skosu.</w:t>
      </w:r>
    </w:p>
    <w:p w:rsidR="00CD292D" w:rsidRDefault="00CD292D" w:rsidP="00CD292D">
      <w:pPr>
        <w:spacing w:before="120" w:after="120"/>
      </w:pPr>
      <w:r>
        <w:t xml:space="preserve">6.5.4.7. Rzędne wysokościowe </w:t>
      </w:r>
    </w:p>
    <w:p w:rsidR="00CD292D" w:rsidRDefault="00CD292D" w:rsidP="00CD292D">
      <w:pPr>
        <w:ind w:firstLine="709"/>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CD292D" w:rsidRDefault="00CD292D" w:rsidP="00CD292D">
      <w:pPr>
        <w:spacing w:before="120" w:after="120"/>
      </w:pPr>
      <w:r>
        <w:t xml:space="preserve">6.5.4.8. Ukształtowanie osi w planie </w:t>
      </w:r>
    </w:p>
    <w:p w:rsidR="00CD292D" w:rsidRDefault="00CD292D" w:rsidP="00CD292D">
      <w:pPr>
        <w:ind w:firstLine="709"/>
      </w:pPr>
      <w:r>
        <w:t>Ukształtowanie osi w planie, mierzone co 100 m, nie powinno różnić się od dokumentacji projektowej o więcej niż ± 5 cm.</w:t>
      </w:r>
    </w:p>
    <w:p w:rsidR="00CD292D" w:rsidRDefault="00CD292D" w:rsidP="00CD292D">
      <w:pPr>
        <w:spacing w:before="120" w:after="120"/>
      </w:pPr>
      <w:r>
        <w:t xml:space="preserve">6.5.4.9. Ocena wizualna warstwy </w:t>
      </w:r>
    </w:p>
    <w:p w:rsidR="00CD292D" w:rsidRDefault="00CD292D" w:rsidP="00CD292D">
      <w:pPr>
        <w:ind w:firstLine="709"/>
      </w:pPr>
      <w:r>
        <w:t>Wygląd zewnętrzny warstwy, sprawdzony wizualnie, powinien być jednorodny, bez spękań, deformacji, plam i wykruszeń.</w:t>
      </w:r>
    </w:p>
    <w:p w:rsidR="00CD292D" w:rsidRDefault="00CD292D" w:rsidP="00CD292D">
      <w:pPr>
        <w:keepNext/>
        <w:spacing w:before="120" w:after="120"/>
      </w:pPr>
      <w:r>
        <w:t xml:space="preserve">6.5.4.10. Właściwości przeciwpoślizgowe warstwy ścieralnej </w:t>
      </w:r>
    </w:p>
    <w:p w:rsidR="00CD292D" w:rsidRDefault="00CD292D" w:rsidP="00CD292D">
      <w:r>
        <w:t xml:space="preserve">            Przy ocenie właściwości przeciwpoślizgowych nawierzchni drogi klasy G i dróg wyższych klas powinien być określony współczynnik tarcia na mokrej nawierzchni przy całkowitym poślizgu opony testowej. </w:t>
      </w:r>
    </w:p>
    <w:p w:rsidR="00CD292D" w:rsidRDefault="00CD292D" w:rsidP="00CD292D">
      <w:r>
        <w:t>            Pomiar wykonuje się przy temperaturze otoczenia od 5 do 30°C, nie rzadziej niż co 50 m na nawierzchni zwilżanej wodą w ilości 0,5 l/m</w:t>
      </w:r>
      <w:r>
        <w:rPr>
          <w:vertAlign w:val="superscript"/>
        </w:rPr>
        <w:t>2</w:t>
      </w:r>
      <w:r>
        <w:t xml:space="preserve">, a wynik pomiaru powinien być 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w:t>
      </w:r>
      <w:r>
        <w:lastRenderedPageBreak/>
        <w:t>terminie, powinien być on zrealizowany z najmniejszym możliwym opóźnieniem. Uzyskane wartości współczynnika tarcia należy rejestrować z dokładnością do trzech miejsc po przecinku</w:t>
      </w:r>
    </w:p>
    <w:p w:rsidR="00CD292D" w:rsidRDefault="00CD292D" w:rsidP="00CD292D">
      <w:pPr>
        <w:ind w:firstLine="709"/>
      </w:pPr>
      <w: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CD292D" w:rsidRDefault="00CD292D" w:rsidP="00CD292D">
      <w:r>
        <w:t>            Dopuszczalne wartości miarodajnego współczynnika tarcia nawierzchni są określone w tablicy 34.</w:t>
      </w:r>
    </w:p>
    <w:p w:rsidR="00CD292D" w:rsidRDefault="00CD292D" w:rsidP="00CD292D">
      <w:pPr>
        <w:spacing w:before="120" w:after="120"/>
      </w:pPr>
      <w: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CD292D" w:rsidTr="00CD292D">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Minimalna wartość miarodajnego</w:t>
            </w:r>
          </w:p>
          <w:p w:rsidR="00CD292D" w:rsidRDefault="00CD292D">
            <w:pPr>
              <w:jc w:val="center"/>
            </w:pPr>
            <w:r>
              <w:t>współczynnika tarcia przy prędkości</w:t>
            </w:r>
          </w:p>
          <w:p w:rsidR="00CD292D" w:rsidRDefault="00CD292D">
            <w:pPr>
              <w:jc w:val="center"/>
            </w:pPr>
            <w:r>
              <w:t>zablokowanej opony względem nawierzchni</w:t>
            </w:r>
          </w:p>
          <w:p w:rsidR="00CD292D" w:rsidRDefault="00CD292D">
            <w:pPr>
              <w:jc w:val="center"/>
            </w:pPr>
            <w:r>
              <w:t> </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90 km/h</w:t>
            </w:r>
          </w:p>
        </w:tc>
      </w:tr>
      <w:tr w:rsidR="00CD292D" w:rsidTr="00CD292D">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0,44</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284" w:hanging="284"/>
            </w:pPr>
            <w:r>
              <w:t>*  wartość wymagania dla odcinków nawierzchni, na których nie można wykonać pomiarów z prędkością 90 km/h,</w:t>
            </w:r>
          </w:p>
          <w:p w:rsidR="00CD292D" w:rsidRDefault="00CD292D">
            <w:pPr>
              <w:ind w:left="284" w:hanging="284"/>
            </w:pPr>
            <w:r>
              <w:t>** wartości wymagań dla odcinków nawierzchni, na których nie można wykonać pomiarów z prędkością 60 km/h.</w:t>
            </w:r>
          </w:p>
        </w:tc>
      </w:tr>
    </w:tbl>
    <w:p w:rsidR="00CD292D" w:rsidRDefault="00CD292D" w:rsidP="00CD292D">
      <w:pPr>
        <w:rPr>
          <w:rFonts w:eastAsiaTheme="minorEastAsia"/>
        </w:rPr>
      </w:pPr>
      <w:r>
        <w:t> </w:t>
      </w:r>
    </w:p>
    <w:p w:rsidR="00CD292D" w:rsidRDefault="00CD292D" w:rsidP="00CD292D">
      <w:r>
        <w:t>6.5.4.11 Jasność nawierzchni</w:t>
      </w:r>
    </w:p>
    <w:p w:rsidR="00CD292D" w:rsidRDefault="00CD292D" w:rsidP="00CD292D">
      <w:pPr>
        <w:ind w:firstLine="709"/>
      </w:pPr>
      <w:r>
        <w:t>Za jasną uważa się taką nawierzchnię, dla której oznaczona wartość współczynnika luminancji na etapie: przeprowadzania procedury badania typu (wartość towarzysząca badaniu typu) i zatwierdzania badania typu przez Zamawiającego, wynosi co najmniej 70 mcd/(m</w:t>
      </w:r>
      <w:r>
        <w:rPr>
          <w:vertAlign w:val="superscript"/>
        </w:rPr>
        <w:t>2</w:t>
      </w:r>
      <w:r>
        <w:t>∙lux) – dotyczy zastosowań na powierzchniach określonych w niniejszym punkcie.</w:t>
      </w:r>
    </w:p>
    <w:p w:rsidR="00CD292D" w:rsidRDefault="00CD292D" w:rsidP="00CD292D">
      <w:pPr>
        <w:ind w:firstLine="709"/>
      </w:pPr>
      <w:r>
        <w:lastRenderedPageBreak/>
        <w:t>Pomiar współczynnika luminancji należy wykonać wg załącznika 4 z WT-2 2014 -część I.</w:t>
      </w:r>
    </w:p>
    <w:p w:rsidR="00CD292D" w:rsidRDefault="00CD292D" w:rsidP="00CD292D">
      <w:pPr>
        <w:spacing w:before="120" w:after="120"/>
      </w:pPr>
      <w:r>
        <w:rPr>
          <w:b/>
          <w:bCs/>
        </w:rPr>
        <w:t xml:space="preserve">6.5.5. </w:t>
      </w:r>
      <w:r>
        <w:t>Badania kontrolne dodatkowe</w:t>
      </w:r>
    </w:p>
    <w:p w:rsidR="00CD292D" w:rsidRDefault="00CD292D" w:rsidP="00CD292D">
      <w:r>
        <w:t>            W wypadku uznania, że jeden z wyników badań kontrolnych nie jest reprezentatywny dla ocenianego odcinka budowy, Wykonawca ma prawo żądać przeprowadzenia badań kontrolnych dodatkowych.</w:t>
      </w:r>
    </w:p>
    <w:p w:rsidR="00CD292D" w:rsidRDefault="00CD292D" w:rsidP="00CD292D">
      <w: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CD292D" w:rsidRDefault="00CD292D" w:rsidP="00CD292D">
      <w:r>
        <w:t>            Do odbioru uwzględniane są wyniki badań kontrolnych i badań kontrolnych dodatkowych do wyznaczonych odcinków częściowych.</w:t>
      </w:r>
    </w:p>
    <w:p w:rsidR="00CD292D" w:rsidRDefault="00CD292D" w:rsidP="00CD292D">
      <w:r>
        <w:t>            Koszty badań kontrolnych dodatkowych zażądanych przez Wykonawcę ponosi Wykonawca.</w:t>
      </w:r>
    </w:p>
    <w:p w:rsidR="00CD292D" w:rsidRDefault="00CD292D" w:rsidP="00CD292D">
      <w:pPr>
        <w:keepNext/>
        <w:spacing w:before="120" w:after="120"/>
      </w:pPr>
      <w:r>
        <w:rPr>
          <w:b/>
          <w:bCs/>
        </w:rPr>
        <w:t xml:space="preserve">6.5.6. </w:t>
      </w:r>
      <w:r>
        <w:t>Badania arbitrażowe</w:t>
      </w:r>
    </w:p>
    <w:p w:rsidR="00CD292D" w:rsidRDefault="00CD292D" w:rsidP="00CD292D">
      <w:r>
        <w:t>            Badania arbitrażowe są powtórzeniem badań kontrolnych, co do których istnieją uzasadnione wątpliwości ze strony Inżyniera lub Wykonawcy (np. na podstawie własnych badań).</w:t>
      </w:r>
    </w:p>
    <w:p w:rsidR="00CD292D" w:rsidRDefault="00CD292D" w:rsidP="00CD292D">
      <w:r>
        <w:t>            Badania arbitrażowe wykonuje na wniosek strony kontraktu niezależne laboratorium, które nie wykonywało badań kontrolnych.</w:t>
      </w:r>
    </w:p>
    <w:p w:rsidR="00CD292D" w:rsidRDefault="00CD292D" w:rsidP="00CD292D">
      <w:r>
        <w:t>            Koszty badań arbitrażowych wraz ze wszystkimi kosztami ubocznymi ponosi strona, na której niekorzyść przemawia wynik badania.</w:t>
      </w:r>
    </w:p>
    <w:p w:rsidR="00CD292D" w:rsidRDefault="00CD292D" w:rsidP="00CD292D">
      <w:pPr>
        <w:pStyle w:val="Nagwek1"/>
        <w:rPr>
          <w:rFonts w:eastAsia="Times New Roman"/>
        </w:rPr>
      </w:pPr>
      <w:bookmarkStart w:id="521" w:name="_Toc412637950"/>
      <w:r>
        <w:rPr>
          <w:rFonts w:eastAsia="Times New Roman"/>
        </w:rPr>
        <w:t>7. Obmiar robót</w:t>
      </w:r>
      <w:bookmarkEnd w:id="521"/>
    </w:p>
    <w:p w:rsidR="00CD292D" w:rsidRDefault="00CD292D" w:rsidP="00CD292D">
      <w:pPr>
        <w:pStyle w:val="Nagwek2"/>
        <w:rPr>
          <w:rFonts w:eastAsia="Times New Roman"/>
        </w:rPr>
      </w:pPr>
      <w:r>
        <w:rPr>
          <w:rFonts w:eastAsia="Times New Roman"/>
        </w:rPr>
        <w:t>7.1. Ogólne zasady obmiaru robót</w:t>
      </w:r>
    </w:p>
    <w:p w:rsidR="00CD292D" w:rsidRDefault="00CD292D" w:rsidP="00CD292D">
      <w:pPr>
        <w:rPr>
          <w:rFonts w:eastAsiaTheme="minorEastAsia"/>
        </w:rPr>
      </w:pPr>
      <w:r>
        <w:t>            Ogólne zasady obmiaru robót podano w OST  D-M-00.00.00 „Wymagania ogólne” [1] pkt 7.</w:t>
      </w:r>
    </w:p>
    <w:p w:rsidR="00CD292D" w:rsidRDefault="00CD292D" w:rsidP="00CD292D">
      <w:pPr>
        <w:pStyle w:val="Nagwek2"/>
        <w:rPr>
          <w:rFonts w:eastAsia="Times New Roman"/>
        </w:rPr>
      </w:pPr>
      <w:r>
        <w:rPr>
          <w:rFonts w:eastAsia="Times New Roman"/>
        </w:rPr>
        <w:t>7.2. Jednostka obmiarowa</w:t>
      </w:r>
    </w:p>
    <w:p w:rsidR="00CD292D" w:rsidRDefault="00CD292D" w:rsidP="00CD292D">
      <w:pPr>
        <w:rPr>
          <w:rFonts w:eastAsiaTheme="minorEastAsia"/>
        </w:rPr>
      </w:pPr>
      <w:r>
        <w:t>            Jednostką obmiarową jest m</w:t>
      </w:r>
      <w:r>
        <w:rPr>
          <w:vertAlign w:val="superscript"/>
        </w:rPr>
        <w:t>2</w:t>
      </w:r>
      <w:r>
        <w:t xml:space="preserve"> (metr kwadratowy) wykonanej warstwy ścieralnej z betonu asfaltowego (AC).</w:t>
      </w:r>
    </w:p>
    <w:p w:rsidR="00CD292D" w:rsidRDefault="00CD292D" w:rsidP="00CD292D">
      <w:pPr>
        <w:pStyle w:val="Nagwek1"/>
        <w:rPr>
          <w:rFonts w:eastAsia="Times New Roman"/>
        </w:rPr>
      </w:pPr>
      <w:bookmarkStart w:id="522" w:name="_Toc412637951"/>
      <w:r>
        <w:rPr>
          <w:rFonts w:eastAsia="Times New Roman"/>
        </w:rPr>
        <w:t>8. Odbiór robót</w:t>
      </w:r>
      <w:bookmarkEnd w:id="522"/>
    </w:p>
    <w:p w:rsidR="00CD292D" w:rsidRDefault="00CD292D" w:rsidP="00CD292D">
      <w:pPr>
        <w:rPr>
          <w:rFonts w:eastAsiaTheme="minorEastAsia"/>
        </w:rPr>
      </w:pPr>
      <w:r>
        <w:t>            Ogólne zasady odbioru robót podano w OST  D-M-00.00.00 „Wymagania ogólne” [1] pkt 8.</w:t>
      </w:r>
    </w:p>
    <w:p w:rsidR="00CD292D" w:rsidRDefault="00CD292D" w:rsidP="00CD292D">
      <w:r>
        <w:t>            Roboty uznaje się za wykonane zgodnie z dokumentacją projektową, ST i wymaganiami Inżyniera, jeżeli wszystkie pomiary i badania z zachowaniem tolerancji według pktu 6 dały wyniki pozytywne.</w:t>
      </w:r>
    </w:p>
    <w:p w:rsidR="00CD292D" w:rsidRDefault="00CD292D" w:rsidP="00CD292D">
      <w:pPr>
        <w:pStyle w:val="Nagwek1"/>
        <w:rPr>
          <w:rFonts w:eastAsia="Times New Roman"/>
        </w:rPr>
      </w:pPr>
      <w:bookmarkStart w:id="523" w:name="_Toc412637952"/>
      <w:r>
        <w:rPr>
          <w:rFonts w:eastAsia="Times New Roman"/>
        </w:rPr>
        <w:t>9. Podstawa płatności</w:t>
      </w:r>
      <w:bookmarkEnd w:id="523"/>
    </w:p>
    <w:p w:rsidR="00CD292D" w:rsidRDefault="00CD292D" w:rsidP="00CD292D">
      <w:pPr>
        <w:pStyle w:val="Nagwek2"/>
        <w:rPr>
          <w:rFonts w:eastAsia="Times New Roman"/>
        </w:rPr>
      </w:pPr>
      <w:r>
        <w:rPr>
          <w:rFonts w:eastAsia="Times New Roman"/>
        </w:rPr>
        <w:t>9.1. Ogólne ustalenia dotyczące podstawy płatności</w:t>
      </w:r>
    </w:p>
    <w:p w:rsidR="00CD292D" w:rsidRDefault="00CD292D" w:rsidP="00CD292D">
      <w:pPr>
        <w:rPr>
          <w:rFonts w:eastAsiaTheme="minorEastAsia"/>
        </w:rPr>
      </w:pPr>
      <w:r>
        <w:t>            Ogólne ustalenia dotyczące podstawy płatności podano w OST D-M-00.00.00 „Wymagania ogólne” [1] pkt 9.</w:t>
      </w:r>
    </w:p>
    <w:p w:rsidR="00CD292D" w:rsidRDefault="00CD292D" w:rsidP="00CD292D">
      <w:pPr>
        <w:pStyle w:val="Nagwek2"/>
        <w:rPr>
          <w:rFonts w:eastAsia="Times New Roman"/>
        </w:rPr>
      </w:pPr>
      <w:r>
        <w:rPr>
          <w:rFonts w:eastAsia="Times New Roman"/>
        </w:rPr>
        <w:t>9.2. Cena jednostki obmiarowej</w:t>
      </w:r>
    </w:p>
    <w:p w:rsidR="00CD292D" w:rsidRDefault="00CD292D" w:rsidP="00CD292D">
      <w:pPr>
        <w:ind w:firstLine="709"/>
        <w:rPr>
          <w:rFonts w:eastAsiaTheme="minorEastAsia"/>
        </w:rPr>
      </w:pPr>
      <w:r>
        <w:t>Cena wykonania 1 m</w:t>
      </w:r>
      <w:r>
        <w:rPr>
          <w:vertAlign w:val="superscript"/>
        </w:rPr>
        <w:t>2</w:t>
      </w:r>
      <w:r>
        <w:t xml:space="preserve"> warstwy ścieralnej z betonu asfaltowego (AC) obejmuje:</w:t>
      </w:r>
    </w:p>
    <w:p w:rsidR="00CD292D" w:rsidRDefault="00CD292D" w:rsidP="00CD292D">
      <w:pPr>
        <w:ind w:left="283" w:hanging="283"/>
      </w:pPr>
      <w:r>
        <w:rPr>
          <w:rFonts w:ascii="Symbol" w:hAnsi="Symbol"/>
          <w:sz w:val="20"/>
          <w:szCs w:val="20"/>
        </w:rPr>
        <w:t></w:t>
      </w:r>
      <w:r>
        <w:rPr>
          <w:sz w:val="14"/>
          <w:szCs w:val="14"/>
        </w:rPr>
        <w:t xml:space="preserve">      </w:t>
      </w:r>
      <w:r>
        <w:t xml:space="preserve">prace pomiarowe i roboty przygotowawcze, </w:t>
      </w:r>
    </w:p>
    <w:p w:rsidR="00CD292D" w:rsidRDefault="00CD292D" w:rsidP="00CD292D">
      <w:pPr>
        <w:ind w:left="283" w:hanging="283"/>
      </w:pPr>
      <w:r>
        <w:rPr>
          <w:rFonts w:ascii="Symbol" w:hAnsi="Symbol"/>
          <w:sz w:val="20"/>
          <w:szCs w:val="20"/>
        </w:rPr>
        <w:lastRenderedPageBreak/>
        <w:t></w:t>
      </w:r>
      <w:r>
        <w:rPr>
          <w:sz w:val="14"/>
          <w:szCs w:val="14"/>
        </w:rPr>
        <w:t xml:space="preserve">      </w:t>
      </w:r>
      <w:r>
        <w:t>oznakowanie robót,</w:t>
      </w:r>
    </w:p>
    <w:p w:rsidR="00CD292D" w:rsidRDefault="00CD292D" w:rsidP="00CD292D">
      <w:pPr>
        <w:ind w:left="283" w:hanging="283"/>
      </w:pPr>
      <w:r>
        <w:rPr>
          <w:rFonts w:ascii="Symbol" w:hAnsi="Symbol"/>
          <w:sz w:val="20"/>
          <w:szCs w:val="20"/>
        </w:rPr>
        <w:t></w:t>
      </w:r>
      <w:r>
        <w:rPr>
          <w:sz w:val="14"/>
          <w:szCs w:val="14"/>
        </w:rPr>
        <w:t xml:space="preserve">      </w:t>
      </w:r>
      <w:r>
        <w:t>oczyszczenie i skropienie podłoża,</w:t>
      </w:r>
    </w:p>
    <w:p w:rsidR="00CD292D" w:rsidRDefault="00CD292D" w:rsidP="00CD292D">
      <w:pPr>
        <w:ind w:left="283" w:hanging="283"/>
      </w:pPr>
      <w:r>
        <w:rPr>
          <w:rFonts w:ascii="Symbol" w:hAnsi="Symbol"/>
          <w:sz w:val="20"/>
          <w:szCs w:val="20"/>
        </w:rPr>
        <w:t></w:t>
      </w:r>
      <w:r>
        <w:rPr>
          <w:sz w:val="14"/>
          <w:szCs w:val="14"/>
        </w:rPr>
        <w:t xml:space="preserve">      </w:t>
      </w:r>
      <w:r>
        <w:t>dostarczenie materiałów i sprzętu,</w:t>
      </w:r>
    </w:p>
    <w:p w:rsidR="00CD292D" w:rsidRDefault="00CD292D" w:rsidP="00CD292D">
      <w:pPr>
        <w:ind w:left="283" w:hanging="283"/>
      </w:pPr>
      <w:r>
        <w:rPr>
          <w:rFonts w:ascii="Symbol" w:hAnsi="Symbol"/>
          <w:sz w:val="20"/>
          <w:szCs w:val="20"/>
        </w:rPr>
        <w:t></w:t>
      </w:r>
      <w:r>
        <w:rPr>
          <w:sz w:val="14"/>
          <w:szCs w:val="14"/>
        </w:rPr>
        <w:t xml:space="preserve">      </w:t>
      </w:r>
      <w:r>
        <w:t>opracowanie recepty laboratoryjnej,</w:t>
      </w:r>
    </w:p>
    <w:p w:rsidR="00CD292D" w:rsidRDefault="00CD292D" w:rsidP="00CD292D">
      <w:pPr>
        <w:ind w:left="283" w:hanging="283"/>
      </w:pPr>
      <w:r>
        <w:rPr>
          <w:rFonts w:ascii="Symbol" w:hAnsi="Symbol"/>
          <w:sz w:val="20"/>
          <w:szCs w:val="20"/>
        </w:rPr>
        <w:t></w:t>
      </w:r>
      <w:r>
        <w:rPr>
          <w:sz w:val="14"/>
          <w:szCs w:val="14"/>
        </w:rPr>
        <w:t xml:space="preserve">      </w:t>
      </w:r>
      <w:r>
        <w:t>wykonanie próby technologicznej i odcinka próbnego,</w:t>
      </w:r>
    </w:p>
    <w:p w:rsidR="00CD292D" w:rsidRDefault="00CD292D" w:rsidP="00CD292D">
      <w:pPr>
        <w:ind w:left="283" w:hanging="283"/>
      </w:pPr>
      <w:r>
        <w:rPr>
          <w:rFonts w:ascii="Symbol" w:hAnsi="Symbol"/>
          <w:sz w:val="20"/>
          <w:szCs w:val="20"/>
        </w:rPr>
        <w:t></w:t>
      </w:r>
      <w:r>
        <w:rPr>
          <w:sz w:val="14"/>
          <w:szCs w:val="14"/>
        </w:rPr>
        <w:t xml:space="preserve">      </w:t>
      </w:r>
      <w:r>
        <w:t>wyprodukowanie mieszanki betonu asfaltowego i jej transport na miejsce wbudowania,</w:t>
      </w:r>
    </w:p>
    <w:p w:rsidR="00CD292D" w:rsidRDefault="00CD292D" w:rsidP="00CD292D">
      <w:pPr>
        <w:ind w:left="283" w:hanging="283"/>
      </w:pPr>
      <w:r>
        <w:rPr>
          <w:rFonts w:ascii="Symbol" w:hAnsi="Symbol"/>
          <w:sz w:val="20"/>
          <w:szCs w:val="20"/>
        </w:rPr>
        <w:t></w:t>
      </w:r>
      <w:r>
        <w:rPr>
          <w:sz w:val="14"/>
          <w:szCs w:val="14"/>
        </w:rPr>
        <w:t xml:space="preserve">      </w:t>
      </w:r>
      <w:r>
        <w:t>posmarowanie lepiszczem lub pokrycie taśmą asfaltową krawędzi urządzeń obcych i krawężników,</w:t>
      </w:r>
    </w:p>
    <w:p w:rsidR="00CD292D" w:rsidRDefault="00CD292D" w:rsidP="00CD292D">
      <w:pPr>
        <w:ind w:left="283" w:hanging="283"/>
      </w:pPr>
      <w:r>
        <w:rPr>
          <w:rFonts w:ascii="Symbol" w:hAnsi="Symbol"/>
          <w:sz w:val="20"/>
          <w:szCs w:val="20"/>
        </w:rPr>
        <w:t></w:t>
      </w:r>
      <w:r>
        <w:rPr>
          <w:sz w:val="14"/>
          <w:szCs w:val="14"/>
        </w:rPr>
        <w:t xml:space="preserve">      </w:t>
      </w:r>
      <w:r>
        <w:t>rozłożenie i zagęszczenie mieszanki betonu asfaltowego,</w:t>
      </w:r>
    </w:p>
    <w:p w:rsidR="00CD292D" w:rsidRDefault="00CD292D" w:rsidP="00CD292D">
      <w:pPr>
        <w:ind w:left="283" w:hanging="283"/>
      </w:pPr>
      <w:r>
        <w:rPr>
          <w:rFonts w:ascii="Symbol" w:hAnsi="Symbol"/>
          <w:sz w:val="20"/>
          <w:szCs w:val="20"/>
        </w:rPr>
        <w:t></w:t>
      </w:r>
      <w:r>
        <w:rPr>
          <w:sz w:val="14"/>
          <w:szCs w:val="14"/>
        </w:rPr>
        <w:t xml:space="preserve">      </w:t>
      </w:r>
      <w:r>
        <w:t>obcięcie krawędzi i posmarowanie lepiszczem,</w:t>
      </w:r>
    </w:p>
    <w:p w:rsidR="00CD292D" w:rsidRDefault="00CD292D" w:rsidP="00CD292D">
      <w:pPr>
        <w:ind w:left="283" w:hanging="283"/>
      </w:pPr>
      <w:r>
        <w:rPr>
          <w:rFonts w:ascii="Symbol" w:hAnsi="Symbol"/>
          <w:sz w:val="20"/>
          <w:szCs w:val="20"/>
        </w:rPr>
        <w:t></w:t>
      </w:r>
      <w:r>
        <w:rPr>
          <w:sz w:val="14"/>
          <w:szCs w:val="14"/>
        </w:rPr>
        <w:t xml:space="preserve">      </w:t>
      </w:r>
      <w:r>
        <w:t>przeprowadzenie pomiarów i badań  wymaganych w specyfikacji technicznej,</w:t>
      </w:r>
    </w:p>
    <w:p w:rsidR="00CD292D" w:rsidRDefault="00CD292D" w:rsidP="00CD292D">
      <w:pPr>
        <w:ind w:left="283" w:hanging="283"/>
      </w:pPr>
      <w:r>
        <w:rPr>
          <w:rFonts w:ascii="Symbol" w:hAnsi="Symbol"/>
          <w:sz w:val="20"/>
          <w:szCs w:val="20"/>
        </w:rPr>
        <w:t></w:t>
      </w:r>
      <w:r>
        <w:rPr>
          <w:sz w:val="14"/>
          <w:szCs w:val="14"/>
        </w:rPr>
        <w:t xml:space="preserve">      </w:t>
      </w:r>
      <w:r>
        <w:t>odwiezienie sprzętu.</w:t>
      </w:r>
    </w:p>
    <w:p w:rsidR="00CD292D" w:rsidRDefault="00CD292D" w:rsidP="00CD292D">
      <w:pPr>
        <w:pStyle w:val="Nagwek2"/>
        <w:rPr>
          <w:rFonts w:eastAsia="Times New Roman"/>
        </w:rPr>
      </w:pPr>
      <w:r>
        <w:rPr>
          <w:rFonts w:eastAsia="Times New Roman"/>
        </w:rPr>
        <w:t>9.3. Sposób rozliczenia robót tymczasowych i prac towarzyszących</w:t>
      </w:r>
    </w:p>
    <w:p w:rsidR="00CD292D" w:rsidRDefault="00CD292D" w:rsidP="00CD292D">
      <w:pPr>
        <w:rPr>
          <w:rFonts w:eastAsiaTheme="minorEastAsia"/>
        </w:rPr>
      </w:pPr>
      <w:r>
        <w:t>            Cena wykonania robót określonych niniejszą OST obejmuje:</w:t>
      </w:r>
    </w:p>
    <w:p w:rsidR="00CD292D" w:rsidRDefault="00CD292D" w:rsidP="00CD292D">
      <w:pPr>
        <w:ind w:left="283" w:hanging="283"/>
      </w:pPr>
      <w:r>
        <w:rPr>
          <w:rFonts w:ascii="Symbol" w:hAnsi="Symbol"/>
          <w:sz w:val="20"/>
          <w:szCs w:val="20"/>
        </w:rPr>
        <w:t></w:t>
      </w:r>
      <w:r>
        <w:rPr>
          <w:sz w:val="14"/>
          <w:szCs w:val="14"/>
        </w:rPr>
        <w:t xml:space="preserve">      </w:t>
      </w:r>
      <w:r>
        <w:t>roboty tymczasowe, które są potrzebne do wykonania robót podstawowych, ale nie są przekazywane Zamawiającemu i są usuwane po wykonaniu robót podstawowych,</w:t>
      </w:r>
    </w:p>
    <w:p w:rsidR="00CD292D" w:rsidRDefault="00CD292D" w:rsidP="00CD292D">
      <w:pPr>
        <w:ind w:left="283" w:hanging="283"/>
      </w:pPr>
      <w:r>
        <w:rPr>
          <w:rFonts w:ascii="Symbol" w:hAnsi="Symbol"/>
          <w:sz w:val="20"/>
          <w:szCs w:val="20"/>
        </w:rPr>
        <w:t></w:t>
      </w:r>
      <w:r>
        <w:rPr>
          <w:sz w:val="14"/>
          <w:szCs w:val="14"/>
        </w:rPr>
        <w:t xml:space="preserve">      </w:t>
      </w:r>
      <w:r>
        <w:t>prace towarzyszące, które są niezbędne do wykonania robót podstawowych, niezaliczane do robót tymczasowych, jak geodezyjne wytyczenie robót itd.</w:t>
      </w:r>
    </w:p>
    <w:p w:rsidR="00CD292D" w:rsidRDefault="00CD292D" w:rsidP="00CD292D">
      <w:pPr>
        <w:pStyle w:val="Nagwek1"/>
        <w:rPr>
          <w:rFonts w:eastAsia="Times New Roman"/>
        </w:rPr>
      </w:pPr>
      <w:bookmarkStart w:id="524" w:name="_Toc412637953"/>
      <w:r>
        <w:rPr>
          <w:rFonts w:eastAsia="Times New Roman"/>
        </w:rPr>
        <w:t>10. Przepisy związane</w:t>
      </w:r>
      <w:bookmarkEnd w:id="524"/>
    </w:p>
    <w:p w:rsidR="00CD292D" w:rsidRDefault="00CD292D" w:rsidP="00CD292D">
      <w:pPr>
        <w:pStyle w:val="Nagwek2"/>
        <w:rPr>
          <w:rFonts w:eastAsia="Times New Roman"/>
        </w:rPr>
      </w:pPr>
      <w:r>
        <w:rPr>
          <w:rFonts w:eastAsia="Times New Roman"/>
        </w:rPr>
        <w:t>10.1. Ogólne specyfikacje techniczne (OST)</w:t>
      </w:r>
    </w:p>
    <w:tbl>
      <w:tblPr>
        <w:tblW w:w="0" w:type="auto"/>
        <w:tblCellMar>
          <w:left w:w="0" w:type="dxa"/>
          <w:right w:w="0" w:type="dxa"/>
        </w:tblCellMar>
        <w:tblLook w:val="04A0" w:firstRow="1" w:lastRow="0" w:firstColumn="1" w:lastColumn="0" w:noHBand="0" w:noVBand="1"/>
      </w:tblPr>
      <w:tblGrid>
        <w:gridCol w:w="606"/>
        <w:gridCol w:w="1581"/>
        <w:gridCol w:w="6885"/>
      </w:tblGrid>
      <w:tr w:rsidR="00CD292D" w:rsidTr="00CD292D">
        <w:tc>
          <w:tcPr>
            <w:tcW w:w="670" w:type="dxa"/>
            <w:tcMar>
              <w:top w:w="0" w:type="dxa"/>
              <w:left w:w="70" w:type="dxa"/>
              <w:bottom w:w="0" w:type="dxa"/>
              <w:right w:w="70" w:type="dxa"/>
            </w:tcMar>
            <w:hideMark/>
          </w:tcPr>
          <w:p w:rsidR="00CD292D" w:rsidRDefault="00CD292D">
            <w:pPr>
              <w:jc w:val="center"/>
              <w:rPr>
                <w:rFonts w:eastAsiaTheme="minorEastAsia"/>
              </w:rPr>
            </w:pPr>
            <w:r>
              <w:t>1.</w:t>
            </w:r>
          </w:p>
        </w:tc>
        <w:tc>
          <w:tcPr>
            <w:tcW w:w="1701" w:type="dxa"/>
            <w:tcMar>
              <w:top w:w="0" w:type="dxa"/>
              <w:left w:w="70" w:type="dxa"/>
              <w:bottom w:w="0" w:type="dxa"/>
              <w:right w:w="70" w:type="dxa"/>
            </w:tcMar>
            <w:hideMark/>
          </w:tcPr>
          <w:p w:rsidR="00CD292D" w:rsidRDefault="00CD292D">
            <w:r>
              <w:t> D-M-00.00.00</w:t>
            </w:r>
          </w:p>
        </w:tc>
        <w:tc>
          <w:tcPr>
            <w:tcW w:w="7977" w:type="dxa"/>
            <w:tcMar>
              <w:top w:w="0" w:type="dxa"/>
              <w:left w:w="70" w:type="dxa"/>
              <w:bottom w:w="0" w:type="dxa"/>
              <w:right w:w="70" w:type="dxa"/>
            </w:tcMar>
            <w:hideMark/>
          </w:tcPr>
          <w:p w:rsidR="00CD292D" w:rsidRDefault="00CD292D">
            <w:r>
              <w:t>Wymagania ogólne</w:t>
            </w:r>
          </w:p>
        </w:tc>
      </w:tr>
      <w:tr w:rsidR="00CD292D" w:rsidTr="00CD292D">
        <w:tc>
          <w:tcPr>
            <w:tcW w:w="670" w:type="dxa"/>
            <w:tcMar>
              <w:top w:w="0" w:type="dxa"/>
              <w:left w:w="70" w:type="dxa"/>
              <w:bottom w:w="0" w:type="dxa"/>
              <w:right w:w="70" w:type="dxa"/>
            </w:tcMar>
            <w:hideMark/>
          </w:tcPr>
          <w:p w:rsidR="00CD292D" w:rsidRDefault="00CD292D">
            <w:pPr>
              <w:jc w:val="center"/>
            </w:pPr>
            <w:r>
              <w:t>2.</w:t>
            </w:r>
          </w:p>
        </w:tc>
        <w:tc>
          <w:tcPr>
            <w:tcW w:w="1701" w:type="dxa"/>
            <w:tcMar>
              <w:top w:w="0" w:type="dxa"/>
              <w:left w:w="70" w:type="dxa"/>
              <w:bottom w:w="0" w:type="dxa"/>
              <w:right w:w="70" w:type="dxa"/>
            </w:tcMar>
            <w:hideMark/>
          </w:tcPr>
          <w:p w:rsidR="00CD292D" w:rsidRDefault="00CD292D">
            <w:r>
              <w:t>D-04.03.01a</w:t>
            </w:r>
          </w:p>
        </w:tc>
        <w:tc>
          <w:tcPr>
            <w:tcW w:w="7977" w:type="dxa"/>
            <w:tcMar>
              <w:top w:w="0" w:type="dxa"/>
              <w:left w:w="70" w:type="dxa"/>
              <w:bottom w:w="0" w:type="dxa"/>
              <w:right w:w="70" w:type="dxa"/>
            </w:tcMar>
            <w:hideMark/>
          </w:tcPr>
          <w:p w:rsidR="00CD292D" w:rsidRDefault="00CD292D">
            <w:r>
              <w:t>Połączenie międzywarstwowe nawierzchni drogowej emulsją asfaltową</w:t>
            </w:r>
          </w:p>
        </w:tc>
      </w:tr>
    </w:tbl>
    <w:p w:rsidR="00CD292D" w:rsidRDefault="00CD292D" w:rsidP="00CD292D">
      <w:pPr>
        <w:pStyle w:val="Nagwek2"/>
        <w:rPr>
          <w:rFonts w:eastAsia="Times New Roman"/>
        </w:rPr>
      </w:pPr>
      <w:r>
        <w:rPr>
          <w:rFonts w:eastAsia="Times New Roman"/>
        </w:rPr>
        <w:t>10.2. Normy</w:t>
      </w:r>
    </w:p>
    <w:p w:rsidR="00CD292D" w:rsidRDefault="00CD292D" w:rsidP="00CD292D">
      <w:pPr>
        <w:spacing w:after="120"/>
        <w:rPr>
          <w:rFonts w:eastAsiaTheme="minorEastAsia"/>
        </w:rPr>
      </w:pPr>
      <w: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CD292D" w:rsidTr="00CD292D">
        <w:tc>
          <w:tcPr>
            <w:tcW w:w="708" w:type="dxa"/>
            <w:tcMar>
              <w:top w:w="0" w:type="dxa"/>
              <w:left w:w="108" w:type="dxa"/>
              <w:bottom w:w="0" w:type="dxa"/>
              <w:right w:w="108" w:type="dxa"/>
            </w:tcMar>
            <w:hideMark/>
          </w:tcPr>
          <w:p w:rsidR="00CD292D" w:rsidRDefault="00CD292D">
            <w:pPr>
              <w:jc w:val="center"/>
            </w:pPr>
            <w:r>
              <w:t>3.</w:t>
            </w:r>
          </w:p>
        </w:tc>
        <w:tc>
          <w:tcPr>
            <w:tcW w:w="2280" w:type="dxa"/>
            <w:tcMar>
              <w:top w:w="0" w:type="dxa"/>
              <w:left w:w="108" w:type="dxa"/>
              <w:bottom w:w="0" w:type="dxa"/>
              <w:right w:w="108" w:type="dxa"/>
            </w:tcMar>
            <w:hideMark/>
          </w:tcPr>
          <w:p w:rsidR="00CD292D" w:rsidRDefault="00CD292D">
            <w:r>
              <w:t>PN-EN 196-2</w:t>
            </w:r>
          </w:p>
        </w:tc>
        <w:tc>
          <w:tcPr>
            <w:tcW w:w="7360" w:type="dxa"/>
            <w:tcMar>
              <w:top w:w="0" w:type="dxa"/>
              <w:left w:w="108" w:type="dxa"/>
              <w:bottom w:w="0" w:type="dxa"/>
              <w:right w:w="108" w:type="dxa"/>
            </w:tcMar>
            <w:hideMark/>
          </w:tcPr>
          <w:p w:rsidR="00CD292D" w:rsidRDefault="00CD292D">
            <w:r>
              <w:t>Metody badania cementu – Część 2: Analiza chemiczna cementu</w:t>
            </w:r>
          </w:p>
        </w:tc>
      </w:tr>
      <w:tr w:rsidR="00CD292D" w:rsidTr="00CD292D">
        <w:tc>
          <w:tcPr>
            <w:tcW w:w="708" w:type="dxa"/>
            <w:tcMar>
              <w:top w:w="0" w:type="dxa"/>
              <w:left w:w="108" w:type="dxa"/>
              <w:bottom w:w="0" w:type="dxa"/>
              <w:right w:w="108" w:type="dxa"/>
            </w:tcMar>
            <w:hideMark/>
          </w:tcPr>
          <w:p w:rsidR="00CD292D" w:rsidRDefault="00CD292D">
            <w:pPr>
              <w:jc w:val="center"/>
            </w:pPr>
            <w:r>
              <w:t>4.</w:t>
            </w:r>
          </w:p>
        </w:tc>
        <w:tc>
          <w:tcPr>
            <w:tcW w:w="2280" w:type="dxa"/>
            <w:tcMar>
              <w:top w:w="0" w:type="dxa"/>
              <w:left w:w="108" w:type="dxa"/>
              <w:bottom w:w="0" w:type="dxa"/>
              <w:right w:w="108" w:type="dxa"/>
            </w:tcMar>
            <w:hideMark/>
          </w:tcPr>
          <w:p w:rsidR="00CD292D" w:rsidRDefault="00CD292D">
            <w:r>
              <w:t>PN-EN 459-2</w:t>
            </w:r>
          </w:p>
        </w:tc>
        <w:tc>
          <w:tcPr>
            <w:tcW w:w="7360" w:type="dxa"/>
            <w:tcMar>
              <w:top w:w="0" w:type="dxa"/>
              <w:left w:w="108" w:type="dxa"/>
              <w:bottom w:w="0" w:type="dxa"/>
              <w:right w:w="108" w:type="dxa"/>
            </w:tcMar>
            <w:hideMark/>
          </w:tcPr>
          <w:p w:rsidR="00CD292D" w:rsidRDefault="00CD292D">
            <w:r>
              <w:t>Wapno budowlane – Część 2: Metody badań</w:t>
            </w:r>
          </w:p>
        </w:tc>
      </w:tr>
      <w:tr w:rsidR="00CD292D" w:rsidTr="00CD292D">
        <w:tc>
          <w:tcPr>
            <w:tcW w:w="708" w:type="dxa"/>
            <w:tcMar>
              <w:top w:w="0" w:type="dxa"/>
              <w:left w:w="108" w:type="dxa"/>
              <w:bottom w:w="0" w:type="dxa"/>
              <w:right w:w="108" w:type="dxa"/>
            </w:tcMar>
            <w:hideMark/>
          </w:tcPr>
          <w:p w:rsidR="00CD292D" w:rsidRDefault="00CD292D">
            <w:pPr>
              <w:jc w:val="center"/>
            </w:pPr>
            <w:r>
              <w:t>5.</w:t>
            </w:r>
          </w:p>
        </w:tc>
        <w:tc>
          <w:tcPr>
            <w:tcW w:w="2280" w:type="dxa"/>
            <w:tcMar>
              <w:top w:w="0" w:type="dxa"/>
              <w:left w:w="108" w:type="dxa"/>
              <w:bottom w:w="0" w:type="dxa"/>
              <w:right w:w="108" w:type="dxa"/>
            </w:tcMar>
            <w:hideMark/>
          </w:tcPr>
          <w:p w:rsidR="00CD292D" w:rsidRDefault="00CD292D">
            <w:r>
              <w:t>PN-EN 932-3</w:t>
            </w:r>
          </w:p>
        </w:tc>
        <w:tc>
          <w:tcPr>
            <w:tcW w:w="7360" w:type="dxa"/>
            <w:tcMar>
              <w:top w:w="0" w:type="dxa"/>
              <w:left w:w="108" w:type="dxa"/>
              <w:bottom w:w="0" w:type="dxa"/>
              <w:right w:w="108" w:type="dxa"/>
            </w:tcMar>
            <w:hideMark/>
          </w:tcPr>
          <w:p w:rsidR="00CD292D" w:rsidRDefault="00CD292D">
            <w:r>
              <w:t>Badania podstawowych właściwości kruszyw – Procedura i terminologia uproszczonego opisu petrograficznego</w:t>
            </w:r>
          </w:p>
        </w:tc>
      </w:tr>
      <w:tr w:rsidR="00CD292D" w:rsidTr="00CD292D">
        <w:tc>
          <w:tcPr>
            <w:tcW w:w="708" w:type="dxa"/>
            <w:tcMar>
              <w:top w:w="0" w:type="dxa"/>
              <w:left w:w="108" w:type="dxa"/>
              <w:bottom w:w="0" w:type="dxa"/>
              <w:right w:w="108" w:type="dxa"/>
            </w:tcMar>
            <w:hideMark/>
          </w:tcPr>
          <w:p w:rsidR="00CD292D" w:rsidRDefault="00CD292D">
            <w:pPr>
              <w:jc w:val="center"/>
            </w:pPr>
            <w:r>
              <w:t>6.</w:t>
            </w:r>
          </w:p>
        </w:tc>
        <w:tc>
          <w:tcPr>
            <w:tcW w:w="2280" w:type="dxa"/>
            <w:tcMar>
              <w:top w:w="0" w:type="dxa"/>
              <w:left w:w="108" w:type="dxa"/>
              <w:bottom w:w="0" w:type="dxa"/>
              <w:right w:w="108" w:type="dxa"/>
            </w:tcMar>
            <w:hideMark/>
          </w:tcPr>
          <w:p w:rsidR="00CD292D" w:rsidRDefault="00CD292D">
            <w:r>
              <w:t>PN-EN 933-1</w:t>
            </w:r>
          </w:p>
        </w:tc>
        <w:tc>
          <w:tcPr>
            <w:tcW w:w="7360" w:type="dxa"/>
            <w:tcMar>
              <w:top w:w="0" w:type="dxa"/>
              <w:left w:w="108" w:type="dxa"/>
              <w:bottom w:w="0" w:type="dxa"/>
              <w:right w:w="108" w:type="dxa"/>
            </w:tcMar>
            <w:hideMark/>
          </w:tcPr>
          <w:p w:rsidR="00CD292D" w:rsidRDefault="00CD292D">
            <w:r>
              <w:t>Badania geometrycznych właściwości kruszyw – Część 1: Oznaczanie składu ziarnowego – Metoda przesiewania</w:t>
            </w:r>
          </w:p>
        </w:tc>
      </w:tr>
      <w:tr w:rsidR="00CD292D" w:rsidTr="00CD292D">
        <w:tc>
          <w:tcPr>
            <w:tcW w:w="708" w:type="dxa"/>
            <w:tcMar>
              <w:top w:w="0" w:type="dxa"/>
              <w:left w:w="108" w:type="dxa"/>
              <w:bottom w:w="0" w:type="dxa"/>
              <w:right w:w="108" w:type="dxa"/>
            </w:tcMar>
            <w:hideMark/>
          </w:tcPr>
          <w:p w:rsidR="00CD292D" w:rsidRDefault="00CD292D">
            <w:pPr>
              <w:jc w:val="center"/>
            </w:pPr>
            <w:r>
              <w:t>7.</w:t>
            </w:r>
          </w:p>
        </w:tc>
        <w:tc>
          <w:tcPr>
            <w:tcW w:w="2280" w:type="dxa"/>
            <w:tcMar>
              <w:top w:w="0" w:type="dxa"/>
              <w:left w:w="108" w:type="dxa"/>
              <w:bottom w:w="0" w:type="dxa"/>
              <w:right w:w="108" w:type="dxa"/>
            </w:tcMar>
            <w:hideMark/>
          </w:tcPr>
          <w:p w:rsidR="00CD292D" w:rsidRDefault="00CD292D">
            <w:r>
              <w:t>PN-EN 933-3</w:t>
            </w:r>
          </w:p>
        </w:tc>
        <w:tc>
          <w:tcPr>
            <w:tcW w:w="7360" w:type="dxa"/>
            <w:tcMar>
              <w:top w:w="0" w:type="dxa"/>
              <w:left w:w="108" w:type="dxa"/>
              <w:bottom w:w="0" w:type="dxa"/>
              <w:right w:w="108" w:type="dxa"/>
            </w:tcMar>
            <w:hideMark/>
          </w:tcPr>
          <w:p w:rsidR="00CD292D" w:rsidRDefault="00CD292D">
            <w:r>
              <w:t>Badania geometrycznych właściwości kruszyw – Część 3: Oznaczanie kształtu ziarn za pomocą wskaźnika płaskości</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8.</w:t>
            </w:r>
          </w:p>
        </w:tc>
        <w:tc>
          <w:tcPr>
            <w:tcW w:w="2280" w:type="dxa"/>
            <w:tcMar>
              <w:top w:w="0" w:type="dxa"/>
              <w:left w:w="108" w:type="dxa"/>
              <w:bottom w:w="0" w:type="dxa"/>
              <w:right w:w="108" w:type="dxa"/>
            </w:tcMar>
            <w:hideMark/>
          </w:tcPr>
          <w:p w:rsidR="00CD292D" w:rsidRDefault="00CD292D">
            <w:r>
              <w:t>PN-EN 933-4</w:t>
            </w:r>
          </w:p>
        </w:tc>
        <w:tc>
          <w:tcPr>
            <w:tcW w:w="7360" w:type="dxa"/>
            <w:tcMar>
              <w:top w:w="0" w:type="dxa"/>
              <w:left w:w="108" w:type="dxa"/>
              <w:bottom w:w="0" w:type="dxa"/>
              <w:right w:w="108" w:type="dxa"/>
            </w:tcMar>
            <w:hideMark/>
          </w:tcPr>
          <w:p w:rsidR="00CD292D" w:rsidRDefault="00CD292D">
            <w:r>
              <w:t>Badania geometrycznych właściwości kruszyw – Część 4: Oznaczanie kształtu ziarn – Wskaźnik kształtu</w:t>
            </w:r>
          </w:p>
        </w:tc>
      </w:tr>
      <w:tr w:rsidR="00CD292D" w:rsidTr="00CD292D">
        <w:tc>
          <w:tcPr>
            <w:tcW w:w="708" w:type="dxa"/>
            <w:tcMar>
              <w:top w:w="0" w:type="dxa"/>
              <w:left w:w="108" w:type="dxa"/>
              <w:bottom w:w="0" w:type="dxa"/>
              <w:right w:w="108" w:type="dxa"/>
            </w:tcMar>
            <w:hideMark/>
          </w:tcPr>
          <w:p w:rsidR="00CD292D" w:rsidRDefault="00CD292D">
            <w:pPr>
              <w:jc w:val="center"/>
            </w:pPr>
            <w:r>
              <w:t>9.</w:t>
            </w:r>
          </w:p>
        </w:tc>
        <w:tc>
          <w:tcPr>
            <w:tcW w:w="2280" w:type="dxa"/>
            <w:tcMar>
              <w:top w:w="0" w:type="dxa"/>
              <w:left w:w="108" w:type="dxa"/>
              <w:bottom w:w="0" w:type="dxa"/>
              <w:right w:w="108" w:type="dxa"/>
            </w:tcMar>
            <w:hideMark/>
          </w:tcPr>
          <w:p w:rsidR="00CD292D" w:rsidRDefault="00CD292D">
            <w:r>
              <w:t>PN-EN 933-5</w:t>
            </w:r>
          </w:p>
        </w:tc>
        <w:tc>
          <w:tcPr>
            <w:tcW w:w="7360" w:type="dxa"/>
            <w:tcMar>
              <w:top w:w="0" w:type="dxa"/>
              <w:left w:w="108" w:type="dxa"/>
              <w:bottom w:w="0" w:type="dxa"/>
              <w:right w:w="108" w:type="dxa"/>
            </w:tcMar>
            <w:hideMark/>
          </w:tcPr>
          <w:p w:rsidR="00CD292D" w:rsidRDefault="00CD292D">
            <w:r>
              <w:t>Badania geometrycznych właściwości kruszyw – Oznaczanie procentowej zawartości ziarn o powierzchniach powstałych w wyniku przekruszenia lub łamania kruszyw grubych</w:t>
            </w:r>
          </w:p>
        </w:tc>
      </w:tr>
      <w:tr w:rsidR="00CD292D" w:rsidTr="00CD292D">
        <w:tc>
          <w:tcPr>
            <w:tcW w:w="708" w:type="dxa"/>
            <w:tcMar>
              <w:top w:w="0" w:type="dxa"/>
              <w:left w:w="108" w:type="dxa"/>
              <w:bottom w:w="0" w:type="dxa"/>
              <w:right w:w="108" w:type="dxa"/>
            </w:tcMar>
            <w:hideMark/>
          </w:tcPr>
          <w:p w:rsidR="00CD292D" w:rsidRDefault="00CD292D">
            <w:pPr>
              <w:jc w:val="center"/>
            </w:pPr>
            <w:r>
              <w:t>10.</w:t>
            </w:r>
          </w:p>
        </w:tc>
        <w:tc>
          <w:tcPr>
            <w:tcW w:w="2280" w:type="dxa"/>
            <w:tcMar>
              <w:top w:w="0" w:type="dxa"/>
              <w:left w:w="108" w:type="dxa"/>
              <w:bottom w:w="0" w:type="dxa"/>
              <w:right w:w="108" w:type="dxa"/>
            </w:tcMar>
            <w:hideMark/>
          </w:tcPr>
          <w:p w:rsidR="00CD292D" w:rsidRDefault="00CD292D">
            <w:r>
              <w:t>PN-EN 933-6</w:t>
            </w:r>
          </w:p>
        </w:tc>
        <w:tc>
          <w:tcPr>
            <w:tcW w:w="7360" w:type="dxa"/>
            <w:tcMar>
              <w:top w:w="0" w:type="dxa"/>
              <w:left w:w="108" w:type="dxa"/>
              <w:bottom w:w="0" w:type="dxa"/>
              <w:right w:w="108" w:type="dxa"/>
            </w:tcMar>
            <w:hideMark/>
          </w:tcPr>
          <w:p w:rsidR="00CD292D" w:rsidRDefault="00CD292D">
            <w:r>
              <w:t>Badania geometrycznych właściwości kruszyw – Część 6: Ocena właściwości powierzchni – Wskaźnik przepływu kruszyw</w:t>
            </w:r>
          </w:p>
        </w:tc>
      </w:tr>
      <w:tr w:rsidR="00CD292D" w:rsidTr="00CD292D">
        <w:tc>
          <w:tcPr>
            <w:tcW w:w="708" w:type="dxa"/>
            <w:tcMar>
              <w:top w:w="0" w:type="dxa"/>
              <w:left w:w="108" w:type="dxa"/>
              <w:bottom w:w="0" w:type="dxa"/>
              <w:right w:w="108" w:type="dxa"/>
            </w:tcMar>
            <w:hideMark/>
          </w:tcPr>
          <w:p w:rsidR="00CD292D" w:rsidRDefault="00CD292D">
            <w:pPr>
              <w:jc w:val="center"/>
            </w:pPr>
            <w:r>
              <w:t>11.</w:t>
            </w:r>
          </w:p>
        </w:tc>
        <w:tc>
          <w:tcPr>
            <w:tcW w:w="2280" w:type="dxa"/>
            <w:tcMar>
              <w:top w:w="0" w:type="dxa"/>
              <w:left w:w="108" w:type="dxa"/>
              <w:bottom w:w="0" w:type="dxa"/>
              <w:right w:w="108" w:type="dxa"/>
            </w:tcMar>
            <w:hideMark/>
          </w:tcPr>
          <w:p w:rsidR="00CD292D" w:rsidRDefault="00CD292D">
            <w:r>
              <w:t>PN-EN 933-9</w:t>
            </w:r>
          </w:p>
        </w:tc>
        <w:tc>
          <w:tcPr>
            <w:tcW w:w="7360" w:type="dxa"/>
            <w:tcMar>
              <w:top w:w="0" w:type="dxa"/>
              <w:left w:w="108" w:type="dxa"/>
              <w:bottom w:w="0" w:type="dxa"/>
              <w:right w:w="108" w:type="dxa"/>
            </w:tcMar>
            <w:hideMark/>
          </w:tcPr>
          <w:p w:rsidR="00CD292D" w:rsidRDefault="00CD292D">
            <w:r>
              <w:t>Badania geometrycznych właściwości kruszyw – Część 9: Ocena zawartości drobnych cząstek – Badania błękitem metylenowym</w:t>
            </w:r>
          </w:p>
        </w:tc>
      </w:tr>
      <w:tr w:rsidR="00CD292D" w:rsidTr="00CD292D">
        <w:tc>
          <w:tcPr>
            <w:tcW w:w="708" w:type="dxa"/>
            <w:tcMar>
              <w:top w:w="0" w:type="dxa"/>
              <w:left w:w="108" w:type="dxa"/>
              <w:bottom w:w="0" w:type="dxa"/>
              <w:right w:w="108" w:type="dxa"/>
            </w:tcMar>
            <w:hideMark/>
          </w:tcPr>
          <w:p w:rsidR="00CD292D" w:rsidRDefault="00CD292D">
            <w:pPr>
              <w:jc w:val="center"/>
            </w:pPr>
            <w:r>
              <w:t>12.</w:t>
            </w:r>
          </w:p>
        </w:tc>
        <w:tc>
          <w:tcPr>
            <w:tcW w:w="2280" w:type="dxa"/>
            <w:tcMar>
              <w:top w:w="0" w:type="dxa"/>
              <w:left w:w="108" w:type="dxa"/>
              <w:bottom w:w="0" w:type="dxa"/>
              <w:right w:w="108" w:type="dxa"/>
            </w:tcMar>
            <w:hideMark/>
          </w:tcPr>
          <w:p w:rsidR="00CD292D" w:rsidRDefault="00CD292D">
            <w:r>
              <w:t>PN-EN 933-10</w:t>
            </w:r>
          </w:p>
        </w:tc>
        <w:tc>
          <w:tcPr>
            <w:tcW w:w="7360" w:type="dxa"/>
            <w:tcMar>
              <w:top w:w="0" w:type="dxa"/>
              <w:left w:w="108" w:type="dxa"/>
              <w:bottom w:w="0" w:type="dxa"/>
              <w:right w:w="108" w:type="dxa"/>
            </w:tcMar>
            <w:hideMark/>
          </w:tcPr>
          <w:p w:rsidR="00CD292D" w:rsidRDefault="00CD292D">
            <w:r>
              <w:t>Badania geometrycznych właściwości kruszyw – Część 10: Ocena zawartości drobnych cząstek – Uziarnienie wypełniaczy (przesiewanie w strumieniu powietrza)</w:t>
            </w:r>
          </w:p>
        </w:tc>
      </w:tr>
      <w:tr w:rsidR="00CD292D" w:rsidTr="00CD292D">
        <w:tc>
          <w:tcPr>
            <w:tcW w:w="708" w:type="dxa"/>
            <w:tcMar>
              <w:top w:w="0" w:type="dxa"/>
              <w:left w:w="108" w:type="dxa"/>
              <w:bottom w:w="0" w:type="dxa"/>
              <w:right w:w="108" w:type="dxa"/>
            </w:tcMar>
            <w:hideMark/>
          </w:tcPr>
          <w:p w:rsidR="00CD292D" w:rsidRDefault="00CD292D">
            <w:pPr>
              <w:jc w:val="center"/>
            </w:pPr>
            <w:r>
              <w:t>13.</w:t>
            </w:r>
          </w:p>
        </w:tc>
        <w:tc>
          <w:tcPr>
            <w:tcW w:w="2280" w:type="dxa"/>
            <w:tcMar>
              <w:top w:w="0" w:type="dxa"/>
              <w:left w:w="108" w:type="dxa"/>
              <w:bottom w:w="0" w:type="dxa"/>
              <w:right w:w="108" w:type="dxa"/>
            </w:tcMar>
            <w:hideMark/>
          </w:tcPr>
          <w:p w:rsidR="00CD292D" w:rsidRDefault="00CD292D">
            <w:r>
              <w:t>PN-EN 1097-2</w:t>
            </w:r>
          </w:p>
        </w:tc>
        <w:tc>
          <w:tcPr>
            <w:tcW w:w="7360" w:type="dxa"/>
            <w:tcMar>
              <w:top w:w="0" w:type="dxa"/>
              <w:left w:w="108" w:type="dxa"/>
              <w:bottom w:w="0" w:type="dxa"/>
              <w:right w:w="108" w:type="dxa"/>
            </w:tcMar>
            <w:hideMark/>
          </w:tcPr>
          <w:p w:rsidR="00CD292D" w:rsidRDefault="00CD292D">
            <w:r>
              <w:t>Badania mechanicznych i fizycznych właściwości kruszyw – Część 2: Metody oznaczania odporności na rozdrabnianie</w:t>
            </w:r>
          </w:p>
        </w:tc>
      </w:tr>
      <w:tr w:rsidR="00CD292D" w:rsidTr="00CD292D">
        <w:tc>
          <w:tcPr>
            <w:tcW w:w="708" w:type="dxa"/>
            <w:tcMar>
              <w:top w:w="0" w:type="dxa"/>
              <w:left w:w="108" w:type="dxa"/>
              <w:bottom w:w="0" w:type="dxa"/>
              <w:right w:w="108" w:type="dxa"/>
            </w:tcMar>
            <w:hideMark/>
          </w:tcPr>
          <w:p w:rsidR="00CD292D" w:rsidRDefault="00CD292D">
            <w:pPr>
              <w:jc w:val="center"/>
            </w:pPr>
            <w:r>
              <w:t>14.</w:t>
            </w:r>
          </w:p>
        </w:tc>
        <w:tc>
          <w:tcPr>
            <w:tcW w:w="2280" w:type="dxa"/>
            <w:tcMar>
              <w:top w:w="0" w:type="dxa"/>
              <w:left w:w="108" w:type="dxa"/>
              <w:bottom w:w="0" w:type="dxa"/>
              <w:right w:w="108" w:type="dxa"/>
            </w:tcMar>
            <w:hideMark/>
          </w:tcPr>
          <w:p w:rsidR="00CD292D" w:rsidRDefault="00CD292D">
            <w:r>
              <w:t>PN-EN 1097-4</w:t>
            </w:r>
          </w:p>
        </w:tc>
        <w:tc>
          <w:tcPr>
            <w:tcW w:w="7360" w:type="dxa"/>
            <w:tcMar>
              <w:top w:w="0" w:type="dxa"/>
              <w:left w:w="108" w:type="dxa"/>
              <w:bottom w:w="0" w:type="dxa"/>
              <w:right w:w="108" w:type="dxa"/>
            </w:tcMar>
            <w:hideMark/>
          </w:tcPr>
          <w:p w:rsidR="00CD292D" w:rsidRDefault="00CD292D">
            <w:r>
              <w:t>Badania mechanicznych i fizycznych właściwości kruszyw – Część 4: Oznaczanie pustych przestrzeni suchego, zagęszczonego wypełniacza</w:t>
            </w:r>
          </w:p>
        </w:tc>
      </w:tr>
      <w:tr w:rsidR="00CD292D" w:rsidTr="00CD292D">
        <w:tc>
          <w:tcPr>
            <w:tcW w:w="708" w:type="dxa"/>
            <w:tcMar>
              <w:top w:w="0" w:type="dxa"/>
              <w:left w:w="108" w:type="dxa"/>
              <w:bottom w:w="0" w:type="dxa"/>
              <w:right w:w="108" w:type="dxa"/>
            </w:tcMar>
            <w:hideMark/>
          </w:tcPr>
          <w:p w:rsidR="00CD292D" w:rsidRDefault="00CD292D">
            <w:pPr>
              <w:jc w:val="center"/>
            </w:pPr>
            <w:r>
              <w:t>15.</w:t>
            </w:r>
          </w:p>
        </w:tc>
        <w:tc>
          <w:tcPr>
            <w:tcW w:w="2280" w:type="dxa"/>
            <w:tcMar>
              <w:top w:w="0" w:type="dxa"/>
              <w:left w:w="108" w:type="dxa"/>
              <w:bottom w:w="0" w:type="dxa"/>
              <w:right w:w="108" w:type="dxa"/>
            </w:tcMar>
            <w:hideMark/>
          </w:tcPr>
          <w:p w:rsidR="00CD292D" w:rsidRDefault="00CD292D">
            <w:r>
              <w:t>PN-EN 1097-5</w:t>
            </w:r>
          </w:p>
        </w:tc>
        <w:tc>
          <w:tcPr>
            <w:tcW w:w="7360" w:type="dxa"/>
            <w:tcMar>
              <w:top w:w="0" w:type="dxa"/>
              <w:left w:w="108" w:type="dxa"/>
              <w:bottom w:w="0" w:type="dxa"/>
              <w:right w:w="108" w:type="dxa"/>
            </w:tcMar>
            <w:hideMark/>
          </w:tcPr>
          <w:p w:rsidR="00CD292D" w:rsidRDefault="00CD292D">
            <w:r>
              <w:t>Badania mechanicznych i fizycznych właściwości kruszyw – Część 5: Oznaczanie zawartości wody przez suszenie w suszarce z wentylacją</w:t>
            </w:r>
          </w:p>
        </w:tc>
      </w:tr>
      <w:tr w:rsidR="00CD292D" w:rsidTr="00CD292D">
        <w:tc>
          <w:tcPr>
            <w:tcW w:w="708" w:type="dxa"/>
            <w:tcMar>
              <w:top w:w="0" w:type="dxa"/>
              <w:left w:w="108" w:type="dxa"/>
              <w:bottom w:w="0" w:type="dxa"/>
              <w:right w:w="108" w:type="dxa"/>
            </w:tcMar>
            <w:hideMark/>
          </w:tcPr>
          <w:p w:rsidR="00CD292D" w:rsidRDefault="00CD292D">
            <w:pPr>
              <w:jc w:val="center"/>
            </w:pPr>
            <w:r>
              <w:t>16.</w:t>
            </w:r>
          </w:p>
        </w:tc>
        <w:tc>
          <w:tcPr>
            <w:tcW w:w="2280" w:type="dxa"/>
            <w:tcMar>
              <w:top w:w="0" w:type="dxa"/>
              <w:left w:w="108" w:type="dxa"/>
              <w:bottom w:w="0" w:type="dxa"/>
              <w:right w:w="108" w:type="dxa"/>
            </w:tcMar>
            <w:hideMark/>
          </w:tcPr>
          <w:p w:rsidR="00CD292D" w:rsidRDefault="00CD292D">
            <w:r>
              <w:t>PN-EN 1097-6</w:t>
            </w:r>
          </w:p>
        </w:tc>
        <w:tc>
          <w:tcPr>
            <w:tcW w:w="7360" w:type="dxa"/>
            <w:tcMar>
              <w:top w:w="0" w:type="dxa"/>
              <w:left w:w="108" w:type="dxa"/>
              <w:bottom w:w="0" w:type="dxa"/>
              <w:right w:w="108" w:type="dxa"/>
            </w:tcMar>
            <w:hideMark/>
          </w:tcPr>
          <w:p w:rsidR="00CD292D" w:rsidRDefault="00CD292D">
            <w:r>
              <w:t>Badania mechanicznych i fizycznych właściwości kruszyw – Część 6: Oznaczanie gęstości ziarn i nasiąkliwości</w:t>
            </w:r>
          </w:p>
        </w:tc>
      </w:tr>
      <w:tr w:rsidR="00CD292D" w:rsidTr="00CD292D">
        <w:tc>
          <w:tcPr>
            <w:tcW w:w="708" w:type="dxa"/>
            <w:tcMar>
              <w:top w:w="0" w:type="dxa"/>
              <w:left w:w="108" w:type="dxa"/>
              <w:bottom w:w="0" w:type="dxa"/>
              <w:right w:w="108" w:type="dxa"/>
            </w:tcMar>
            <w:hideMark/>
          </w:tcPr>
          <w:p w:rsidR="00CD292D" w:rsidRDefault="00CD292D">
            <w:pPr>
              <w:jc w:val="center"/>
            </w:pPr>
            <w:r>
              <w:t>17.</w:t>
            </w:r>
          </w:p>
        </w:tc>
        <w:tc>
          <w:tcPr>
            <w:tcW w:w="2280" w:type="dxa"/>
            <w:tcMar>
              <w:top w:w="0" w:type="dxa"/>
              <w:left w:w="108" w:type="dxa"/>
              <w:bottom w:w="0" w:type="dxa"/>
              <w:right w:w="108" w:type="dxa"/>
            </w:tcMar>
            <w:hideMark/>
          </w:tcPr>
          <w:p w:rsidR="00CD292D" w:rsidRDefault="00CD292D">
            <w:r>
              <w:t>PN-EN 1097-7</w:t>
            </w:r>
          </w:p>
        </w:tc>
        <w:tc>
          <w:tcPr>
            <w:tcW w:w="7360" w:type="dxa"/>
            <w:tcMar>
              <w:top w:w="0" w:type="dxa"/>
              <w:left w:w="108" w:type="dxa"/>
              <w:bottom w:w="0" w:type="dxa"/>
              <w:right w:w="108" w:type="dxa"/>
            </w:tcMar>
            <w:hideMark/>
          </w:tcPr>
          <w:p w:rsidR="00CD292D" w:rsidRDefault="00CD292D">
            <w:r>
              <w:t>Badania mechanicznych i fizycznych właściwości kruszyw – Część 7: Oznaczanie gęstości wypełniacza – Metoda piknometryczna</w:t>
            </w:r>
          </w:p>
        </w:tc>
      </w:tr>
      <w:tr w:rsidR="00CD292D" w:rsidTr="00CD292D">
        <w:tc>
          <w:tcPr>
            <w:tcW w:w="708" w:type="dxa"/>
            <w:tcMar>
              <w:top w:w="0" w:type="dxa"/>
              <w:left w:w="108" w:type="dxa"/>
              <w:bottom w:w="0" w:type="dxa"/>
              <w:right w:w="108" w:type="dxa"/>
            </w:tcMar>
            <w:hideMark/>
          </w:tcPr>
          <w:p w:rsidR="00CD292D" w:rsidRDefault="00CD292D">
            <w:pPr>
              <w:jc w:val="center"/>
            </w:pPr>
            <w:r>
              <w:t>18.</w:t>
            </w:r>
          </w:p>
        </w:tc>
        <w:tc>
          <w:tcPr>
            <w:tcW w:w="2280" w:type="dxa"/>
            <w:tcMar>
              <w:top w:w="0" w:type="dxa"/>
              <w:left w:w="108" w:type="dxa"/>
              <w:bottom w:w="0" w:type="dxa"/>
              <w:right w:w="108" w:type="dxa"/>
            </w:tcMar>
            <w:hideMark/>
          </w:tcPr>
          <w:p w:rsidR="00CD292D" w:rsidRDefault="00CD292D">
            <w:r>
              <w:t>PN-EN 1097-8</w:t>
            </w:r>
          </w:p>
        </w:tc>
        <w:tc>
          <w:tcPr>
            <w:tcW w:w="7360" w:type="dxa"/>
            <w:tcMar>
              <w:top w:w="0" w:type="dxa"/>
              <w:left w:w="108" w:type="dxa"/>
              <w:bottom w:w="0" w:type="dxa"/>
              <w:right w:w="108" w:type="dxa"/>
            </w:tcMar>
            <w:hideMark/>
          </w:tcPr>
          <w:p w:rsidR="00CD292D" w:rsidRDefault="00CD292D">
            <w:r>
              <w:t>Badania mechanicznych i fizycznych właściwości kruszyw – Część 8: Oznaczanie polerowalności kamienia</w:t>
            </w:r>
          </w:p>
        </w:tc>
      </w:tr>
      <w:tr w:rsidR="00CD292D" w:rsidTr="00CD292D">
        <w:tc>
          <w:tcPr>
            <w:tcW w:w="708" w:type="dxa"/>
            <w:tcMar>
              <w:top w:w="0" w:type="dxa"/>
              <w:left w:w="108" w:type="dxa"/>
              <w:bottom w:w="0" w:type="dxa"/>
              <w:right w:w="108" w:type="dxa"/>
            </w:tcMar>
            <w:hideMark/>
          </w:tcPr>
          <w:p w:rsidR="00CD292D" w:rsidRDefault="00CD292D">
            <w:pPr>
              <w:jc w:val="center"/>
            </w:pPr>
            <w:r>
              <w:t>19.</w:t>
            </w:r>
          </w:p>
        </w:tc>
        <w:tc>
          <w:tcPr>
            <w:tcW w:w="2280" w:type="dxa"/>
            <w:tcMar>
              <w:top w:w="0" w:type="dxa"/>
              <w:left w:w="108" w:type="dxa"/>
              <w:bottom w:w="0" w:type="dxa"/>
              <w:right w:w="108" w:type="dxa"/>
            </w:tcMar>
            <w:hideMark/>
          </w:tcPr>
          <w:p w:rsidR="00CD292D" w:rsidRDefault="00CD292D">
            <w:r>
              <w:t>PN-EN 1367-3</w:t>
            </w:r>
          </w:p>
        </w:tc>
        <w:tc>
          <w:tcPr>
            <w:tcW w:w="7360" w:type="dxa"/>
            <w:tcMar>
              <w:top w:w="0" w:type="dxa"/>
              <w:left w:w="108" w:type="dxa"/>
              <w:bottom w:w="0" w:type="dxa"/>
              <w:right w:w="108" w:type="dxa"/>
            </w:tcMar>
            <w:hideMark/>
          </w:tcPr>
          <w:p w:rsidR="00CD292D" w:rsidRDefault="00CD292D">
            <w:r>
              <w:t>Badania właściwości cieplnych i odporności kruszyw na działanie czynników atmosferycznych – Część 3: Badanie bazaltowej zgorzeli słonecznej metodą gotowania</w:t>
            </w:r>
          </w:p>
        </w:tc>
      </w:tr>
      <w:tr w:rsidR="00CD292D" w:rsidTr="00CD292D">
        <w:tc>
          <w:tcPr>
            <w:tcW w:w="708" w:type="dxa"/>
            <w:tcMar>
              <w:top w:w="0" w:type="dxa"/>
              <w:left w:w="108" w:type="dxa"/>
              <w:bottom w:w="0" w:type="dxa"/>
              <w:right w:w="108" w:type="dxa"/>
            </w:tcMar>
            <w:hideMark/>
          </w:tcPr>
          <w:p w:rsidR="00CD292D" w:rsidRDefault="00CD292D">
            <w:pPr>
              <w:jc w:val="center"/>
            </w:pPr>
            <w:r>
              <w:t>20.</w:t>
            </w:r>
          </w:p>
        </w:tc>
        <w:tc>
          <w:tcPr>
            <w:tcW w:w="2280" w:type="dxa"/>
            <w:tcMar>
              <w:top w:w="0" w:type="dxa"/>
              <w:left w:w="108" w:type="dxa"/>
              <w:bottom w:w="0" w:type="dxa"/>
              <w:right w:w="108" w:type="dxa"/>
            </w:tcMar>
            <w:hideMark/>
          </w:tcPr>
          <w:p w:rsidR="00CD292D" w:rsidRDefault="00CD292D">
            <w:r>
              <w:t>PN-EN 1367-6</w:t>
            </w:r>
          </w:p>
        </w:tc>
        <w:tc>
          <w:tcPr>
            <w:tcW w:w="7360" w:type="dxa"/>
            <w:tcMar>
              <w:top w:w="0" w:type="dxa"/>
              <w:left w:w="108" w:type="dxa"/>
              <w:bottom w:w="0" w:type="dxa"/>
              <w:right w:w="108" w:type="dxa"/>
            </w:tcMar>
            <w:hideMark/>
          </w:tcPr>
          <w:p w:rsidR="00CD292D" w:rsidRDefault="00CD292D">
            <w:r>
              <w:t>Badania właściwości cieplnych i odporności kruszyw na działanie czynników atmosferycznych - Część 6: Mrozoodporność w obecności soli</w:t>
            </w:r>
          </w:p>
        </w:tc>
      </w:tr>
      <w:tr w:rsidR="00CD292D" w:rsidTr="00CD292D">
        <w:tc>
          <w:tcPr>
            <w:tcW w:w="708" w:type="dxa"/>
            <w:tcMar>
              <w:top w:w="0" w:type="dxa"/>
              <w:left w:w="108" w:type="dxa"/>
              <w:bottom w:w="0" w:type="dxa"/>
              <w:right w:w="108" w:type="dxa"/>
            </w:tcMar>
            <w:hideMark/>
          </w:tcPr>
          <w:p w:rsidR="00CD292D" w:rsidRDefault="00CD292D">
            <w:pPr>
              <w:jc w:val="center"/>
            </w:pPr>
            <w:r>
              <w:t>21.</w:t>
            </w:r>
          </w:p>
        </w:tc>
        <w:tc>
          <w:tcPr>
            <w:tcW w:w="2280" w:type="dxa"/>
            <w:tcMar>
              <w:top w:w="0" w:type="dxa"/>
              <w:left w:w="108" w:type="dxa"/>
              <w:bottom w:w="0" w:type="dxa"/>
              <w:right w:w="108" w:type="dxa"/>
            </w:tcMar>
            <w:hideMark/>
          </w:tcPr>
          <w:p w:rsidR="00CD292D" w:rsidRDefault="00CD292D">
            <w:r>
              <w:t>PN-EN 1426</w:t>
            </w:r>
          </w:p>
        </w:tc>
        <w:tc>
          <w:tcPr>
            <w:tcW w:w="7360" w:type="dxa"/>
            <w:tcMar>
              <w:top w:w="0" w:type="dxa"/>
              <w:left w:w="108" w:type="dxa"/>
              <w:bottom w:w="0" w:type="dxa"/>
              <w:right w:w="108" w:type="dxa"/>
            </w:tcMar>
            <w:hideMark/>
          </w:tcPr>
          <w:p w:rsidR="00CD292D" w:rsidRDefault="00CD292D">
            <w:r>
              <w:t>Asfalty i produkty asfaltowe – Oznaczanie penetracji igłą</w:t>
            </w:r>
          </w:p>
        </w:tc>
      </w:tr>
      <w:tr w:rsidR="00CD292D" w:rsidTr="00CD292D">
        <w:tc>
          <w:tcPr>
            <w:tcW w:w="708" w:type="dxa"/>
            <w:tcMar>
              <w:top w:w="0" w:type="dxa"/>
              <w:left w:w="108" w:type="dxa"/>
              <w:bottom w:w="0" w:type="dxa"/>
              <w:right w:w="108" w:type="dxa"/>
            </w:tcMar>
            <w:hideMark/>
          </w:tcPr>
          <w:p w:rsidR="00CD292D" w:rsidRDefault="00CD292D">
            <w:pPr>
              <w:jc w:val="center"/>
            </w:pPr>
            <w:r>
              <w:t>22.</w:t>
            </w:r>
          </w:p>
        </w:tc>
        <w:tc>
          <w:tcPr>
            <w:tcW w:w="2280" w:type="dxa"/>
            <w:tcMar>
              <w:top w:w="0" w:type="dxa"/>
              <w:left w:w="108" w:type="dxa"/>
              <w:bottom w:w="0" w:type="dxa"/>
              <w:right w:w="108" w:type="dxa"/>
            </w:tcMar>
            <w:hideMark/>
          </w:tcPr>
          <w:p w:rsidR="00CD292D" w:rsidRDefault="00CD292D">
            <w:r>
              <w:t>PN-EN 1427</w:t>
            </w:r>
          </w:p>
        </w:tc>
        <w:tc>
          <w:tcPr>
            <w:tcW w:w="7360" w:type="dxa"/>
            <w:tcMar>
              <w:top w:w="0" w:type="dxa"/>
              <w:left w:w="108" w:type="dxa"/>
              <w:bottom w:w="0" w:type="dxa"/>
              <w:right w:w="108" w:type="dxa"/>
            </w:tcMar>
            <w:hideMark/>
          </w:tcPr>
          <w:p w:rsidR="00CD292D" w:rsidRDefault="00CD292D">
            <w:r>
              <w:t>Asfalty i produkty asfaltowe – Oznaczanie temperatury mięknienia – Metoda Pierścień i Kula</w:t>
            </w:r>
          </w:p>
        </w:tc>
      </w:tr>
      <w:tr w:rsidR="00CD292D" w:rsidTr="00CD292D">
        <w:tc>
          <w:tcPr>
            <w:tcW w:w="708" w:type="dxa"/>
            <w:tcMar>
              <w:top w:w="0" w:type="dxa"/>
              <w:left w:w="108" w:type="dxa"/>
              <w:bottom w:w="0" w:type="dxa"/>
              <w:right w:w="108" w:type="dxa"/>
            </w:tcMar>
            <w:hideMark/>
          </w:tcPr>
          <w:p w:rsidR="00CD292D" w:rsidRDefault="00CD292D">
            <w:pPr>
              <w:jc w:val="center"/>
            </w:pPr>
            <w:r>
              <w:t>23.</w:t>
            </w:r>
          </w:p>
        </w:tc>
        <w:tc>
          <w:tcPr>
            <w:tcW w:w="2280" w:type="dxa"/>
            <w:tcMar>
              <w:top w:w="0" w:type="dxa"/>
              <w:left w:w="108" w:type="dxa"/>
              <w:bottom w:w="0" w:type="dxa"/>
              <w:right w:w="108" w:type="dxa"/>
            </w:tcMar>
            <w:hideMark/>
          </w:tcPr>
          <w:p w:rsidR="00CD292D" w:rsidRDefault="00CD292D">
            <w:r>
              <w:t>PN-EN 1744-1</w:t>
            </w:r>
          </w:p>
        </w:tc>
        <w:tc>
          <w:tcPr>
            <w:tcW w:w="7360" w:type="dxa"/>
            <w:tcMar>
              <w:top w:w="0" w:type="dxa"/>
              <w:left w:w="108" w:type="dxa"/>
              <w:bottom w:w="0" w:type="dxa"/>
              <w:right w:w="108" w:type="dxa"/>
            </w:tcMar>
            <w:hideMark/>
          </w:tcPr>
          <w:p w:rsidR="00CD292D" w:rsidRDefault="00CD292D">
            <w:r>
              <w:t>Badania chemicznych właściwości kruszyw – Analiza chemiczna</w:t>
            </w:r>
          </w:p>
        </w:tc>
      </w:tr>
      <w:tr w:rsidR="00CD292D" w:rsidTr="00CD292D">
        <w:tc>
          <w:tcPr>
            <w:tcW w:w="708" w:type="dxa"/>
            <w:tcMar>
              <w:top w:w="0" w:type="dxa"/>
              <w:left w:w="108" w:type="dxa"/>
              <w:bottom w:w="0" w:type="dxa"/>
              <w:right w:w="108" w:type="dxa"/>
            </w:tcMar>
            <w:hideMark/>
          </w:tcPr>
          <w:p w:rsidR="00CD292D" w:rsidRDefault="00CD292D">
            <w:pPr>
              <w:jc w:val="center"/>
            </w:pPr>
            <w:r>
              <w:t>24.</w:t>
            </w:r>
          </w:p>
        </w:tc>
        <w:tc>
          <w:tcPr>
            <w:tcW w:w="2280" w:type="dxa"/>
            <w:tcMar>
              <w:top w:w="0" w:type="dxa"/>
              <w:left w:w="108" w:type="dxa"/>
              <w:bottom w:w="0" w:type="dxa"/>
              <w:right w:w="108" w:type="dxa"/>
            </w:tcMar>
            <w:hideMark/>
          </w:tcPr>
          <w:p w:rsidR="00CD292D" w:rsidRDefault="00CD292D">
            <w:r>
              <w:t>PN-EN 12591</w:t>
            </w:r>
          </w:p>
        </w:tc>
        <w:tc>
          <w:tcPr>
            <w:tcW w:w="7360" w:type="dxa"/>
            <w:tcMar>
              <w:top w:w="0" w:type="dxa"/>
              <w:left w:w="108" w:type="dxa"/>
              <w:bottom w:w="0" w:type="dxa"/>
              <w:right w:w="108" w:type="dxa"/>
            </w:tcMar>
            <w:hideMark/>
          </w:tcPr>
          <w:p w:rsidR="00CD292D" w:rsidRDefault="00CD292D">
            <w:r>
              <w:t>Asfalty i produkty asfaltowe – Wymagania dla asfaltów drogowych</w:t>
            </w:r>
          </w:p>
        </w:tc>
      </w:tr>
      <w:tr w:rsidR="00CD292D" w:rsidTr="00CD292D">
        <w:tc>
          <w:tcPr>
            <w:tcW w:w="708" w:type="dxa"/>
            <w:tcMar>
              <w:top w:w="0" w:type="dxa"/>
              <w:left w:w="108" w:type="dxa"/>
              <w:bottom w:w="0" w:type="dxa"/>
              <w:right w:w="108" w:type="dxa"/>
            </w:tcMar>
            <w:hideMark/>
          </w:tcPr>
          <w:p w:rsidR="00CD292D" w:rsidRDefault="00CD292D">
            <w:pPr>
              <w:jc w:val="center"/>
            </w:pPr>
            <w:r>
              <w:t>25.</w:t>
            </w:r>
          </w:p>
        </w:tc>
        <w:tc>
          <w:tcPr>
            <w:tcW w:w="2280" w:type="dxa"/>
            <w:tcMar>
              <w:top w:w="0" w:type="dxa"/>
              <w:left w:w="108" w:type="dxa"/>
              <w:bottom w:w="0" w:type="dxa"/>
              <w:right w:w="108" w:type="dxa"/>
            </w:tcMar>
            <w:hideMark/>
          </w:tcPr>
          <w:p w:rsidR="00CD292D" w:rsidRDefault="00CD292D">
            <w:r>
              <w:t>PN-EN 12592</w:t>
            </w:r>
          </w:p>
        </w:tc>
        <w:tc>
          <w:tcPr>
            <w:tcW w:w="7360" w:type="dxa"/>
            <w:tcMar>
              <w:top w:w="0" w:type="dxa"/>
              <w:left w:w="108" w:type="dxa"/>
              <w:bottom w:w="0" w:type="dxa"/>
              <w:right w:w="108" w:type="dxa"/>
            </w:tcMar>
            <w:hideMark/>
          </w:tcPr>
          <w:p w:rsidR="00CD292D" w:rsidRDefault="00CD292D">
            <w:r>
              <w:t>Asfalty i produkty asfaltowe – Oznaczanie rozpuszczalności</w:t>
            </w:r>
          </w:p>
        </w:tc>
      </w:tr>
      <w:tr w:rsidR="00CD292D" w:rsidTr="00CD292D">
        <w:tc>
          <w:tcPr>
            <w:tcW w:w="708" w:type="dxa"/>
            <w:tcMar>
              <w:top w:w="0" w:type="dxa"/>
              <w:left w:w="108" w:type="dxa"/>
              <w:bottom w:w="0" w:type="dxa"/>
              <w:right w:w="108" w:type="dxa"/>
            </w:tcMar>
            <w:hideMark/>
          </w:tcPr>
          <w:p w:rsidR="00CD292D" w:rsidRDefault="00CD292D">
            <w:pPr>
              <w:jc w:val="center"/>
            </w:pPr>
            <w:r>
              <w:t>26.</w:t>
            </w:r>
          </w:p>
        </w:tc>
        <w:tc>
          <w:tcPr>
            <w:tcW w:w="2280" w:type="dxa"/>
            <w:tcMar>
              <w:top w:w="0" w:type="dxa"/>
              <w:left w:w="108" w:type="dxa"/>
              <w:bottom w:w="0" w:type="dxa"/>
              <w:right w:w="108" w:type="dxa"/>
            </w:tcMar>
            <w:hideMark/>
          </w:tcPr>
          <w:p w:rsidR="00CD292D" w:rsidRDefault="00CD292D">
            <w:r>
              <w:t>PN-EN 12593</w:t>
            </w:r>
          </w:p>
        </w:tc>
        <w:tc>
          <w:tcPr>
            <w:tcW w:w="7360" w:type="dxa"/>
            <w:tcMar>
              <w:top w:w="0" w:type="dxa"/>
              <w:left w:w="108" w:type="dxa"/>
              <w:bottom w:w="0" w:type="dxa"/>
              <w:right w:w="108" w:type="dxa"/>
            </w:tcMar>
            <w:hideMark/>
          </w:tcPr>
          <w:p w:rsidR="00CD292D" w:rsidRDefault="00CD292D">
            <w:r>
              <w:t>Asfalty i produkty asfaltowe – Oznaczanie temperatury łamliwości Fraassa</w:t>
            </w:r>
          </w:p>
        </w:tc>
      </w:tr>
      <w:tr w:rsidR="00CD292D" w:rsidTr="00CD292D">
        <w:tc>
          <w:tcPr>
            <w:tcW w:w="708" w:type="dxa"/>
            <w:tcMar>
              <w:top w:w="0" w:type="dxa"/>
              <w:left w:w="108" w:type="dxa"/>
              <w:bottom w:w="0" w:type="dxa"/>
              <w:right w:w="108" w:type="dxa"/>
            </w:tcMar>
            <w:hideMark/>
          </w:tcPr>
          <w:p w:rsidR="00CD292D" w:rsidRDefault="00CD292D">
            <w:pPr>
              <w:jc w:val="center"/>
            </w:pPr>
            <w:r>
              <w:t>27.</w:t>
            </w:r>
          </w:p>
        </w:tc>
        <w:tc>
          <w:tcPr>
            <w:tcW w:w="2280" w:type="dxa"/>
            <w:tcMar>
              <w:top w:w="0" w:type="dxa"/>
              <w:left w:w="108" w:type="dxa"/>
              <w:bottom w:w="0" w:type="dxa"/>
              <w:right w:w="108" w:type="dxa"/>
            </w:tcMar>
            <w:hideMark/>
          </w:tcPr>
          <w:p w:rsidR="00CD292D" w:rsidRDefault="00CD292D">
            <w:r>
              <w:t>PN-EN 12595</w:t>
            </w:r>
          </w:p>
        </w:tc>
        <w:tc>
          <w:tcPr>
            <w:tcW w:w="7360" w:type="dxa"/>
            <w:tcMar>
              <w:top w:w="0" w:type="dxa"/>
              <w:left w:w="108" w:type="dxa"/>
              <w:bottom w:w="0" w:type="dxa"/>
              <w:right w:w="108" w:type="dxa"/>
            </w:tcMar>
            <w:hideMark/>
          </w:tcPr>
          <w:p w:rsidR="00CD292D" w:rsidRDefault="00CD292D">
            <w:r>
              <w:t>Asfalty i lepiszcza asfaltowe - Oznaczanie lepkości kinematycznej</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28.</w:t>
            </w:r>
          </w:p>
        </w:tc>
        <w:tc>
          <w:tcPr>
            <w:tcW w:w="2280" w:type="dxa"/>
            <w:tcMar>
              <w:top w:w="0" w:type="dxa"/>
              <w:left w:w="108" w:type="dxa"/>
              <w:bottom w:w="0" w:type="dxa"/>
              <w:right w:w="108" w:type="dxa"/>
            </w:tcMar>
            <w:hideMark/>
          </w:tcPr>
          <w:p w:rsidR="00CD292D" w:rsidRDefault="00CD292D">
            <w:r>
              <w:t>PN-EN 12596</w:t>
            </w:r>
          </w:p>
        </w:tc>
        <w:tc>
          <w:tcPr>
            <w:tcW w:w="7360" w:type="dxa"/>
            <w:tcMar>
              <w:top w:w="0" w:type="dxa"/>
              <w:left w:w="108" w:type="dxa"/>
              <w:bottom w:w="0" w:type="dxa"/>
              <w:right w:w="108" w:type="dxa"/>
            </w:tcMar>
            <w:hideMark/>
          </w:tcPr>
          <w:p w:rsidR="00CD292D" w:rsidRDefault="00CD292D">
            <w:r>
              <w:t>Asfalty i lepiszcza asfaltowe - Oznaczanie lepkości dynamicznej metodą próżniowej kapilary</w:t>
            </w:r>
          </w:p>
        </w:tc>
      </w:tr>
      <w:tr w:rsidR="00CD292D" w:rsidTr="00CD292D">
        <w:tc>
          <w:tcPr>
            <w:tcW w:w="708" w:type="dxa"/>
            <w:tcMar>
              <w:top w:w="0" w:type="dxa"/>
              <w:left w:w="108" w:type="dxa"/>
              <w:bottom w:w="0" w:type="dxa"/>
              <w:right w:w="108" w:type="dxa"/>
            </w:tcMar>
            <w:hideMark/>
          </w:tcPr>
          <w:p w:rsidR="00CD292D" w:rsidRDefault="00CD292D">
            <w:pPr>
              <w:jc w:val="center"/>
            </w:pPr>
            <w:r>
              <w:t>29.</w:t>
            </w:r>
          </w:p>
        </w:tc>
        <w:tc>
          <w:tcPr>
            <w:tcW w:w="2280" w:type="dxa"/>
            <w:tcMar>
              <w:top w:w="0" w:type="dxa"/>
              <w:left w:w="108" w:type="dxa"/>
              <w:bottom w:w="0" w:type="dxa"/>
              <w:right w:w="108" w:type="dxa"/>
            </w:tcMar>
            <w:hideMark/>
          </w:tcPr>
          <w:p w:rsidR="00CD292D" w:rsidRDefault="00CD292D">
            <w:r>
              <w:t>PN-EN 12606-1</w:t>
            </w:r>
          </w:p>
        </w:tc>
        <w:tc>
          <w:tcPr>
            <w:tcW w:w="7360" w:type="dxa"/>
            <w:tcMar>
              <w:top w:w="0" w:type="dxa"/>
              <w:left w:w="108" w:type="dxa"/>
              <w:bottom w:w="0" w:type="dxa"/>
              <w:right w:w="108" w:type="dxa"/>
            </w:tcMar>
            <w:hideMark/>
          </w:tcPr>
          <w:p w:rsidR="00CD292D" w:rsidRDefault="00CD292D">
            <w:r>
              <w:t>Asfalty i lepiszcza asfaltowe – Oznaczanie zawartości parafiny – Część 1: Metoda destylacji</w:t>
            </w:r>
          </w:p>
        </w:tc>
      </w:tr>
      <w:tr w:rsidR="00CD292D" w:rsidTr="00CD292D">
        <w:tc>
          <w:tcPr>
            <w:tcW w:w="708" w:type="dxa"/>
            <w:tcMar>
              <w:top w:w="0" w:type="dxa"/>
              <w:left w:w="108" w:type="dxa"/>
              <w:bottom w:w="0" w:type="dxa"/>
              <w:right w:w="108" w:type="dxa"/>
            </w:tcMar>
            <w:hideMark/>
          </w:tcPr>
          <w:p w:rsidR="00CD292D" w:rsidRDefault="00CD292D">
            <w:pPr>
              <w:jc w:val="center"/>
            </w:pPr>
            <w:r>
              <w:t>30.</w:t>
            </w:r>
          </w:p>
        </w:tc>
        <w:tc>
          <w:tcPr>
            <w:tcW w:w="2280" w:type="dxa"/>
            <w:tcMar>
              <w:top w:w="0" w:type="dxa"/>
              <w:left w:w="108" w:type="dxa"/>
              <w:bottom w:w="0" w:type="dxa"/>
              <w:right w:w="108" w:type="dxa"/>
            </w:tcMar>
            <w:hideMark/>
          </w:tcPr>
          <w:p w:rsidR="00CD292D" w:rsidRDefault="00CD292D">
            <w:r>
              <w:t>PN-EN 12607-1</w:t>
            </w:r>
          </w:p>
        </w:tc>
        <w:tc>
          <w:tcPr>
            <w:tcW w:w="7360" w:type="dxa"/>
            <w:tcMar>
              <w:top w:w="0" w:type="dxa"/>
              <w:left w:w="108" w:type="dxa"/>
              <w:bottom w:w="0" w:type="dxa"/>
              <w:right w:w="108" w:type="dxa"/>
            </w:tcMar>
            <w:hideMark/>
          </w:tcPr>
          <w:p w:rsidR="00CD292D" w:rsidRDefault="00CD292D">
            <w:r>
              <w:t>Asfalty i lepiszcza asfaltowe – Oznaczanie odporności na starzenie pod wpływem ciepła i powietrza – Część 1: Metoda RTFOT</w:t>
            </w:r>
          </w:p>
        </w:tc>
      </w:tr>
      <w:tr w:rsidR="00CD292D" w:rsidTr="00CD292D">
        <w:tc>
          <w:tcPr>
            <w:tcW w:w="708" w:type="dxa"/>
            <w:tcMar>
              <w:top w:w="0" w:type="dxa"/>
              <w:left w:w="108" w:type="dxa"/>
              <w:bottom w:w="0" w:type="dxa"/>
              <w:right w:w="108" w:type="dxa"/>
            </w:tcMar>
            <w:hideMark/>
          </w:tcPr>
          <w:p w:rsidR="00CD292D" w:rsidRDefault="00CD292D">
            <w:pPr>
              <w:jc w:val="center"/>
            </w:pPr>
            <w:r>
              <w:t>31.</w:t>
            </w:r>
          </w:p>
        </w:tc>
        <w:tc>
          <w:tcPr>
            <w:tcW w:w="2280" w:type="dxa"/>
            <w:tcMar>
              <w:top w:w="0" w:type="dxa"/>
              <w:left w:w="108" w:type="dxa"/>
              <w:bottom w:w="0" w:type="dxa"/>
              <w:right w:w="108" w:type="dxa"/>
            </w:tcMar>
            <w:hideMark/>
          </w:tcPr>
          <w:p w:rsidR="00CD292D" w:rsidRDefault="00CD292D">
            <w:r>
              <w:t>PN-EN 12697-1</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1: Zawartość lepiszcza rozpuszczalnego</w:t>
            </w:r>
          </w:p>
        </w:tc>
      </w:tr>
      <w:tr w:rsidR="00CD292D" w:rsidTr="00CD292D">
        <w:tc>
          <w:tcPr>
            <w:tcW w:w="708" w:type="dxa"/>
            <w:tcMar>
              <w:top w:w="0" w:type="dxa"/>
              <w:left w:w="108" w:type="dxa"/>
              <w:bottom w:w="0" w:type="dxa"/>
              <w:right w:w="108" w:type="dxa"/>
            </w:tcMar>
            <w:hideMark/>
          </w:tcPr>
          <w:p w:rsidR="00CD292D" w:rsidRDefault="00CD292D">
            <w:pPr>
              <w:jc w:val="center"/>
            </w:pPr>
            <w:r>
              <w:t>32.</w:t>
            </w:r>
          </w:p>
        </w:tc>
        <w:tc>
          <w:tcPr>
            <w:tcW w:w="2280" w:type="dxa"/>
            <w:tcMar>
              <w:top w:w="0" w:type="dxa"/>
              <w:left w:w="108" w:type="dxa"/>
              <w:bottom w:w="0" w:type="dxa"/>
              <w:right w:w="108" w:type="dxa"/>
            </w:tcMar>
            <w:hideMark/>
          </w:tcPr>
          <w:p w:rsidR="00CD292D" w:rsidRDefault="00CD292D">
            <w:r>
              <w:t>PN-EN 12697-2</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 Oznaczanie składu ziarnowego</w:t>
            </w:r>
          </w:p>
        </w:tc>
      </w:tr>
      <w:tr w:rsidR="00CD292D" w:rsidTr="00CD292D">
        <w:tc>
          <w:tcPr>
            <w:tcW w:w="708" w:type="dxa"/>
            <w:tcMar>
              <w:top w:w="0" w:type="dxa"/>
              <w:left w:w="108" w:type="dxa"/>
              <w:bottom w:w="0" w:type="dxa"/>
              <w:right w:w="108" w:type="dxa"/>
            </w:tcMar>
            <w:hideMark/>
          </w:tcPr>
          <w:p w:rsidR="00CD292D" w:rsidRDefault="00CD292D">
            <w:pPr>
              <w:jc w:val="center"/>
            </w:pPr>
            <w:r>
              <w:t>33.</w:t>
            </w:r>
          </w:p>
        </w:tc>
        <w:tc>
          <w:tcPr>
            <w:tcW w:w="2280" w:type="dxa"/>
            <w:tcMar>
              <w:top w:w="0" w:type="dxa"/>
              <w:left w:w="108" w:type="dxa"/>
              <w:bottom w:w="0" w:type="dxa"/>
              <w:right w:w="108" w:type="dxa"/>
            </w:tcMar>
            <w:hideMark/>
          </w:tcPr>
          <w:p w:rsidR="00CD292D" w:rsidRDefault="00CD292D">
            <w:r>
              <w:t>PN-EN 12697-5</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5: Oznaczanie gęstości</w:t>
            </w:r>
          </w:p>
        </w:tc>
      </w:tr>
      <w:tr w:rsidR="00CD292D" w:rsidTr="00CD292D">
        <w:tc>
          <w:tcPr>
            <w:tcW w:w="708" w:type="dxa"/>
            <w:tcMar>
              <w:top w:w="0" w:type="dxa"/>
              <w:left w:w="108" w:type="dxa"/>
              <w:bottom w:w="0" w:type="dxa"/>
              <w:right w:w="108" w:type="dxa"/>
            </w:tcMar>
            <w:hideMark/>
          </w:tcPr>
          <w:p w:rsidR="00CD292D" w:rsidRDefault="00CD292D">
            <w:pPr>
              <w:jc w:val="center"/>
            </w:pPr>
            <w:r>
              <w:t>34.</w:t>
            </w:r>
          </w:p>
        </w:tc>
        <w:tc>
          <w:tcPr>
            <w:tcW w:w="2280" w:type="dxa"/>
            <w:tcMar>
              <w:top w:w="0" w:type="dxa"/>
              <w:left w:w="108" w:type="dxa"/>
              <w:bottom w:w="0" w:type="dxa"/>
              <w:right w:w="108" w:type="dxa"/>
            </w:tcMar>
            <w:hideMark/>
          </w:tcPr>
          <w:p w:rsidR="00CD292D" w:rsidRDefault="00CD292D">
            <w:r>
              <w:t>PN-EN 12697-6</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6: Oznaczanie gęstości objętościowej próbek mieszanki mineralno-asfaltowej</w:t>
            </w:r>
          </w:p>
        </w:tc>
      </w:tr>
      <w:tr w:rsidR="00CD292D" w:rsidTr="00CD292D">
        <w:tc>
          <w:tcPr>
            <w:tcW w:w="708" w:type="dxa"/>
            <w:tcMar>
              <w:top w:w="0" w:type="dxa"/>
              <w:left w:w="108" w:type="dxa"/>
              <w:bottom w:w="0" w:type="dxa"/>
              <w:right w:w="108" w:type="dxa"/>
            </w:tcMar>
            <w:hideMark/>
          </w:tcPr>
          <w:p w:rsidR="00CD292D" w:rsidRDefault="00CD292D">
            <w:pPr>
              <w:jc w:val="center"/>
            </w:pPr>
            <w:r>
              <w:t>35.</w:t>
            </w:r>
          </w:p>
        </w:tc>
        <w:tc>
          <w:tcPr>
            <w:tcW w:w="2280" w:type="dxa"/>
            <w:tcMar>
              <w:top w:w="0" w:type="dxa"/>
              <w:left w:w="108" w:type="dxa"/>
              <w:bottom w:w="0" w:type="dxa"/>
              <w:right w:w="108" w:type="dxa"/>
            </w:tcMar>
            <w:hideMark/>
          </w:tcPr>
          <w:p w:rsidR="00CD292D" w:rsidRDefault="00CD292D">
            <w:r>
              <w:t>PN-EN 12697-8</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8: Oznaczanie zawartości wolnej przestrzeni</w:t>
            </w:r>
          </w:p>
        </w:tc>
      </w:tr>
      <w:tr w:rsidR="00CD292D" w:rsidTr="00CD292D">
        <w:tc>
          <w:tcPr>
            <w:tcW w:w="708" w:type="dxa"/>
            <w:tcMar>
              <w:top w:w="0" w:type="dxa"/>
              <w:left w:w="108" w:type="dxa"/>
              <w:bottom w:w="0" w:type="dxa"/>
              <w:right w:w="108" w:type="dxa"/>
            </w:tcMar>
            <w:hideMark/>
          </w:tcPr>
          <w:p w:rsidR="00CD292D" w:rsidRDefault="00CD292D">
            <w:pPr>
              <w:jc w:val="center"/>
            </w:pPr>
            <w:r>
              <w:t>36.</w:t>
            </w:r>
          </w:p>
        </w:tc>
        <w:tc>
          <w:tcPr>
            <w:tcW w:w="2280" w:type="dxa"/>
            <w:tcMar>
              <w:top w:w="0" w:type="dxa"/>
              <w:left w:w="108" w:type="dxa"/>
              <w:bottom w:w="0" w:type="dxa"/>
              <w:right w:w="108" w:type="dxa"/>
            </w:tcMar>
            <w:hideMark/>
          </w:tcPr>
          <w:p w:rsidR="00CD292D" w:rsidRDefault="00CD292D">
            <w:r>
              <w:t>PN-EN 12697-11</w:t>
            </w:r>
          </w:p>
        </w:tc>
        <w:tc>
          <w:tcPr>
            <w:tcW w:w="7360" w:type="dxa"/>
            <w:tcMar>
              <w:top w:w="0" w:type="dxa"/>
              <w:left w:w="108" w:type="dxa"/>
              <w:bottom w:w="0" w:type="dxa"/>
              <w:right w:w="108" w:type="dxa"/>
            </w:tcMar>
            <w:hideMark/>
          </w:tcPr>
          <w:p w:rsidR="00CD292D" w:rsidRDefault="00CD292D">
            <w:r>
              <w:t>Mieszanki mineralno-asfaltowe – Metody badania mieszanek mineralno-asfaltowych na gorąco – Część 11: Oznaczanie powinowactwa pomiędzy kruszywem i asfaltem</w:t>
            </w:r>
          </w:p>
        </w:tc>
      </w:tr>
      <w:tr w:rsidR="00CD292D" w:rsidTr="00CD292D">
        <w:tc>
          <w:tcPr>
            <w:tcW w:w="708" w:type="dxa"/>
            <w:tcMar>
              <w:top w:w="0" w:type="dxa"/>
              <w:left w:w="108" w:type="dxa"/>
              <w:bottom w:w="0" w:type="dxa"/>
              <w:right w:w="108" w:type="dxa"/>
            </w:tcMar>
            <w:hideMark/>
          </w:tcPr>
          <w:p w:rsidR="00CD292D" w:rsidRDefault="00CD292D">
            <w:pPr>
              <w:jc w:val="center"/>
            </w:pPr>
            <w:r>
              <w:t>37.</w:t>
            </w:r>
          </w:p>
        </w:tc>
        <w:tc>
          <w:tcPr>
            <w:tcW w:w="2280" w:type="dxa"/>
            <w:tcMar>
              <w:top w:w="0" w:type="dxa"/>
              <w:left w:w="108" w:type="dxa"/>
              <w:bottom w:w="0" w:type="dxa"/>
              <w:right w:w="108" w:type="dxa"/>
            </w:tcMar>
            <w:hideMark/>
          </w:tcPr>
          <w:p w:rsidR="00CD292D" w:rsidRDefault="00CD292D">
            <w:r>
              <w:t>PN-EN 12697-12</w:t>
            </w:r>
          </w:p>
        </w:tc>
        <w:tc>
          <w:tcPr>
            <w:tcW w:w="7360" w:type="dxa"/>
            <w:tcMar>
              <w:top w:w="0" w:type="dxa"/>
              <w:left w:w="108" w:type="dxa"/>
              <w:bottom w:w="0" w:type="dxa"/>
              <w:right w:w="108" w:type="dxa"/>
            </w:tcMar>
            <w:hideMark/>
          </w:tcPr>
          <w:p w:rsidR="00CD292D" w:rsidRDefault="00CD292D">
            <w:r>
              <w:t>Mieszanki mineralno-asfaltowe – Metody badania mieszanek mineralno-asfaltowych na gorąco – Część 12: Określanie wrażliwości próbek asfaltowych na wodę</w:t>
            </w:r>
          </w:p>
        </w:tc>
      </w:tr>
      <w:tr w:rsidR="00CD292D" w:rsidTr="00CD292D">
        <w:tc>
          <w:tcPr>
            <w:tcW w:w="708" w:type="dxa"/>
            <w:tcMar>
              <w:top w:w="0" w:type="dxa"/>
              <w:left w:w="108" w:type="dxa"/>
              <w:bottom w:w="0" w:type="dxa"/>
              <w:right w:w="108" w:type="dxa"/>
            </w:tcMar>
            <w:hideMark/>
          </w:tcPr>
          <w:p w:rsidR="00CD292D" w:rsidRDefault="00CD292D">
            <w:pPr>
              <w:jc w:val="center"/>
            </w:pPr>
            <w:r>
              <w:t>38.</w:t>
            </w:r>
          </w:p>
        </w:tc>
        <w:tc>
          <w:tcPr>
            <w:tcW w:w="2280" w:type="dxa"/>
            <w:tcMar>
              <w:top w:w="0" w:type="dxa"/>
              <w:left w:w="108" w:type="dxa"/>
              <w:bottom w:w="0" w:type="dxa"/>
              <w:right w:w="108" w:type="dxa"/>
            </w:tcMar>
            <w:hideMark/>
          </w:tcPr>
          <w:p w:rsidR="00CD292D" w:rsidRDefault="00CD292D">
            <w:r>
              <w:t>PN-EN 12697-13</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13: Pomiar temperatury</w:t>
            </w:r>
          </w:p>
        </w:tc>
      </w:tr>
      <w:tr w:rsidR="00CD292D" w:rsidTr="00CD292D">
        <w:tc>
          <w:tcPr>
            <w:tcW w:w="708" w:type="dxa"/>
            <w:tcMar>
              <w:top w:w="0" w:type="dxa"/>
              <w:left w:w="108" w:type="dxa"/>
              <w:bottom w:w="0" w:type="dxa"/>
              <w:right w:w="108" w:type="dxa"/>
            </w:tcMar>
            <w:hideMark/>
          </w:tcPr>
          <w:p w:rsidR="00CD292D" w:rsidRDefault="00CD292D">
            <w:pPr>
              <w:jc w:val="center"/>
            </w:pPr>
            <w:r>
              <w:t>39.</w:t>
            </w:r>
          </w:p>
        </w:tc>
        <w:tc>
          <w:tcPr>
            <w:tcW w:w="2280" w:type="dxa"/>
            <w:tcMar>
              <w:top w:w="0" w:type="dxa"/>
              <w:left w:w="108" w:type="dxa"/>
              <w:bottom w:w="0" w:type="dxa"/>
              <w:right w:w="108" w:type="dxa"/>
            </w:tcMar>
            <w:hideMark/>
          </w:tcPr>
          <w:p w:rsidR="00CD292D" w:rsidRDefault="00CD292D">
            <w:r>
              <w:t>PN-EN 12697-22</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22: Koleinowanie</w:t>
            </w:r>
          </w:p>
        </w:tc>
      </w:tr>
      <w:tr w:rsidR="00CD292D" w:rsidTr="00CD292D">
        <w:tc>
          <w:tcPr>
            <w:tcW w:w="708" w:type="dxa"/>
            <w:tcMar>
              <w:top w:w="0" w:type="dxa"/>
              <w:left w:w="108" w:type="dxa"/>
              <w:bottom w:w="0" w:type="dxa"/>
              <w:right w:w="108" w:type="dxa"/>
            </w:tcMar>
            <w:hideMark/>
          </w:tcPr>
          <w:p w:rsidR="00CD292D" w:rsidRDefault="00CD292D">
            <w:pPr>
              <w:jc w:val="center"/>
            </w:pPr>
            <w:r>
              <w:t>40.</w:t>
            </w:r>
          </w:p>
        </w:tc>
        <w:tc>
          <w:tcPr>
            <w:tcW w:w="2280" w:type="dxa"/>
            <w:tcMar>
              <w:top w:w="0" w:type="dxa"/>
              <w:left w:w="108" w:type="dxa"/>
              <w:bottom w:w="0" w:type="dxa"/>
              <w:right w:w="108" w:type="dxa"/>
            </w:tcMar>
            <w:hideMark/>
          </w:tcPr>
          <w:p w:rsidR="00CD292D" w:rsidRDefault="00CD292D">
            <w:r>
              <w:t>PN-EN 12697-22</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22: Koleinowanie</w:t>
            </w:r>
          </w:p>
        </w:tc>
      </w:tr>
      <w:tr w:rsidR="00CD292D" w:rsidTr="00CD292D">
        <w:tc>
          <w:tcPr>
            <w:tcW w:w="708" w:type="dxa"/>
            <w:tcMar>
              <w:top w:w="0" w:type="dxa"/>
              <w:left w:w="108" w:type="dxa"/>
              <w:bottom w:w="0" w:type="dxa"/>
              <w:right w:w="108" w:type="dxa"/>
            </w:tcMar>
            <w:hideMark/>
          </w:tcPr>
          <w:p w:rsidR="00CD292D" w:rsidRDefault="00CD292D">
            <w:pPr>
              <w:jc w:val="center"/>
            </w:pPr>
            <w:r>
              <w:t>41.</w:t>
            </w:r>
          </w:p>
        </w:tc>
        <w:tc>
          <w:tcPr>
            <w:tcW w:w="2280" w:type="dxa"/>
            <w:tcMar>
              <w:top w:w="0" w:type="dxa"/>
              <w:left w:w="108" w:type="dxa"/>
              <w:bottom w:w="0" w:type="dxa"/>
              <w:right w:w="108" w:type="dxa"/>
            </w:tcMar>
            <w:hideMark/>
          </w:tcPr>
          <w:p w:rsidR="00CD292D" w:rsidRDefault="00CD292D">
            <w:r>
              <w:t>PN-EN 12697-24</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24: Odporność na zmęczenie</w:t>
            </w:r>
          </w:p>
        </w:tc>
      </w:tr>
      <w:tr w:rsidR="00CD292D" w:rsidTr="00CD292D">
        <w:tc>
          <w:tcPr>
            <w:tcW w:w="708" w:type="dxa"/>
            <w:tcMar>
              <w:top w:w="0" w:type="dxa"/>
              <w:left w:w="108" w:type="dxa"/>
              <w:bottom w:w="0" w:type="dxa"/>
              <w:right w:w="108" w:type="dxa"/>
            </w:tcMar>
            <w:hideMark/>
          </w:tcPr>
          <w:p w:rsidR="00CD292D" w:rsidRDefault="00CD292D">
            <w:pPr>
              <w:jc w:val="center"/>
            </w:pPr>
            <w:r>
              <w:t>42.</w:t>
            </w:r>
          </w:p>
        </w:tc>
        <w:tc>
          <w:tcPr>
            <w:tcW w:w="2280" w:type="dxa"/>
            <w:tcMar>
              <w:top w:w="0" w:type="dxa"/>
              <w:left w:w="108" w:type="dxa"/>
              <w:bottom w:w="0" w:type="dxa"/>
              <w:right w:w="108" w:type="dxa"/>
            </w:tcMar>
            <w:hideMark/>
          </w:tcPr>
          <w:p w:rsidR="00CD292D" w:rsidRDefault="00CD292D">
            <w:r>
              <w:t>PN-EN 12697-26</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26: Sztywność</w:t>
            </w:r>
          </w:p>
        </w:tc>
      </w:tr>
      <w:tr w:rsidR="00CD292D" w:rsidTr="00CD292D">
        <w:tc>
          <w:tcPr>
            <w:tcW w:w="708" w:type="dxa"/>
            <w:tcMar>
              <w:top w:w="0" w:type="dxa"/>
              <w:left w:w="108" w:type="dxa"/>
              <w:bottom w:w="0" w:type="dxa"/>
              <w:right w:w="108" w:type="dxa"/>
            </w:tcMar>
            <w:hideMark/>
          </w:tcPr>
          <w:p w:rsidR="00CD292D" w:rsidRDefault="00CD292D">
            <w:pPr>
              <w:jc w:val="center"/>
            </w:pPr>
            <w:r>
              <w:t>43.</w:t>
            </w:r>
          </w:p>
        </w:tc>
        <w:tc>
          <w:tcPr>
            <w:tcW w:w="2280" w:type="dxa"/>
            <w:tcMar>
              <w:top w:w="0" w:type="dxa"/>
              <w:left w:w="108" w:type="dxa"/>
              <w:bottom w:w="0" w:type="dxa"/>
              <w:right w:w="108" w:type="dxa"/>
            </w:tcMar>
            <w:hideMark/>
          </w:tcPr>
          <w:p w:rsidR="00CD292D" w:rsidRDefault="00CD292D">
            <w:r>
              <w:t>PN-EN 12697-27</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27: Pobieranie próbek</w:t>
            </w:r>
          </w:p>
        </w:tc>
      </w:tr>
      <w:tr w:rsidR="00CD292D" w:rsidTr="00CD292D">
        <w:tc>
          <w:tcPr>
            <w:tcW w:w="708" w:type="dxa"/>
            <w:tcMar>
              <w:top w:w="0" w:type="dxa"/>
              <w:left w:w="108" w:type="dxa"/>
              <w:bottom w:w="0" w:type="dxa"/>
              <w:right w:w="108" w:type="dxa"/>
            </w:tcMar>
            <w:hideMark/>
          </w:tcPr>
          <w:p w:rsidR="00CD292D" w:rsidRDefault="00CD292D">
            <w:pPr>
              <w:jc w:val="center"/>
            </w:pPr>
            <w:r>
              <w:t>44.</w:t>
            </w:r>
          </w:p>
        </w:tc>
        <w:tc>
          <w:tcPr>
            <w:tcW w:w="2280" w:type="dxa"/>
            <w:tcMar>
              <w:top w:w="0" w:type="dxa"/>
              <w:left w:w="108" w:type="dxa"/>
              <w:bottom w:w="0" w:type="dxa"/>
              <w:right w:w="108" w:type="dxa"/>
            </w:tcMar>
            <w:hideMark/>
          </w:tcPr>
          <w:p w:rsidR="00CD292D" w:rsidRDefault="00CD292D">
            <w:r>
              <w:t>PN-EN 12697-36</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36: Oznaczanie grubości nawierzchni asfaltowych</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45.</w:t>
            </w:r>
          </w:p>
        </w:tc>
        <w:tc>
          <w:tcPr>
            <w:tcW w:w="2280" w:type="dxa"/>
            <w:tcMar>
              <w:top w:w="0" w:type="dxa"/>
              <w:left w:w="108" w:type="dxa"/>
              <w:bottom w:w="0" w:type="dxa"/>
              <w:right w:w="108" w:type="dxa"/>
            </w:tcMar>
            <w:hideMark/>
          </w:tcPr>
          <w:p w:rsidR="00CD292D" w:rsidRDefault="00CD292D">
            <w:r>
              <w:t>PN-EN 12697-39</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39: Oznaczanie zawartości lepiszcza metodą spalania</w:t>
            </w:r>
          </w:p>
        </w:tc>
      </w:tr>
      <w:tr w:rsidR="00CD292D" w:rsidTr="00CD292D">
        <w:tc>
          <w:tcPr>
            <w:tcW w:w="708" w:type="dxa"/>
            <w:tcMar>
              <w:top w:w="0" w:type="dxa"/>
              <w:left w:w="108" w:type="dxa"/>
              <w:bottom w:w="0" w:type="dxa"/>
              <w:right w:w="108" w:type="dxa"/>
            </w:tcMar>
            <w:hideMark/>
          </w:tcPr>
          <w:p w:rsidR="00CD292D" w:rsidRDefault="00CD292D">
            <w:pPr>
              <w:jc w:val="center"/>
            </w:pPr>
            <w:r>
              <w:t>46.</w:t>
            </w:r>
          </w:p>
        </w:tc>
        <w:tc>
          <w:tcPr>
            <w:tcW w:w="2280" w:type="dxa"/>
            <w:tcMar>
              <w:top w:w="0" w:type="dxa"/>
              <w:left w:w="108" w:type="dxa"/>
              <w:bottom w:w="0" w:type="dxa"/>
              <w:right w:w="108" w:type="dxa"/>
            </w:tcMar>
            <w:hideMark/>
          </w:tcPr>
          <w:p w:rsidR="00CD292D" w:rsidRDefault="00CD292D">
            <w:r>
              <w:t>PN-EN 12697-41</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41: Odporność na płyny zapobiegające oblodzeniu</w:t>
            </w:r>
          </w:p>
        </w:tc>
      </w:tr>
      <w:tr w:rsidR="00CD292D" w:rsidTr="00CD292D">
        <w:tc>
          <w:tcPr>
            <w:tcW w:w="708" w:type="dxa"/>
            <w:tcMar>
              <w:top w:w="0" w:type="dxa"/>
              <w:left w:w="108" w:type="dxa"/>
              <w:bottom w:w="0" w:type="dxa"/>
              <w:right w:w="108" w:type="dxa"/>
            </w:tcMar>
            <w:hideMark/>
          </w:tcPr>
          <w:p w:rsidR="00CD292D" w:rsidRDefault="00CD292D">
            <w:pPr>
              <w:jc w:val="center"/>
            </w:pPr>
            <w:r>
              <w:t>47.</w:t>
            </w:r>
          </w:p>
        </w:tc>
        <w:tc>
          <w:tcPr>
            <w:tcW w:w="2280" w:type="dxa"/>
            <w:tcMar>
              <w:top w:w="0" w:type="dxa"/>
              <w:left w:w="108" w:type="dxa"/>
              <w:bottom w:w="0" w:type="dxa"/>
              <w:right w:w="108" w:type="dxa"/>
            </w:tcMar>
            <w:hideMark/>
          </w:tcPr>
          <w:p w:rsidR="00CD292D" w:rsidRDefault="00CD292D">
            <w:r>
              <w:t>PN-EN 12697-43</w:t>
            </w:r>
          </w:p>
        </w:tc>
        <w:tc>
          <w:tcPr>
            <w:tcW w:w="7360" w:type="dxa"/>
            <w:tcMar>
              <w:top w:w="0" w:type="dxa"/>
              <w:left w:w="108" w:type="dxa"/>
              <w:bottom w:w="0" w:type="dxa"/>
              <w:right w:w="108" w:type="dxa"/>
            </w:tcMar>
            <w:hideMark/>
          </w:tcPr>
          <w:p w:rsidR="00CD292D" w:rsidRDefault="00CD292D">
            <w:r>
              <w:t>Mieszanki mineralno-asfaltowe - Metody badań mieszanek mineralno-asfaltowych na gorąco - Część 43: Odporność na paliwo</w:t>
            </w:r>
          </w:p>
        </w:tc>
      </w:tr>
      <w:tr w:rsidR="00CD292D" w:rsidTr="00CD292D">
        <w:tc>
          <w:tcPr>
            <w:tcW w:w="708" w:type="dxa"/>
            <w:tcMar>
              <w:top w:w="0" w:type="dxa"/>
              <w:left w:w="108" w:type="dxa"/>
              <w:bottom w:w="0" w:type="dxa"/>
              <w:right w:w="108" w:type="dxa"/>
            </w:tcMar>
            <w:hideMark/>
          </w:tcPr>
          <w:p w:rsidR="00CD292D" w:rsidRDefault="00CD292D">
            <w:pPr>
              <w:jc w:val="center"/>
            </w:pPr>
            <w:r>
              <w:t>48.</w:t>
            </w:r>
          </w:p>
        </w:tc>
        <w:tc>
          <w:tcPr>
            <w:tcW w:w="2280" w:type="dxa"/>
            <w:tcMar>
              <w:top w:w="0" w:type="dxa"/>
              <w:left w:w="108" w:type="dxa"/>
              <w:bottom w:w="0" w:type="dxa"/>
              <w:right w:w="108" w:type="dxa"/>
            </w:tcMar>
            <w:hideMark/>
          </w:tcPr>
          <w:p w:rsidR="00CD292D" w:rsidRDefault="00CD292D">
            <w:r>
              <w:t>PN-EN 12846-1</w:t>
            </w:r>
          </w:p>
        </w:tc>
        <w:tc>
          <w:tcPr>
            <w:tcW w:w="7360" w:type="dxa"/>
            <w:tcMar>
              <w:top w:w="0" w:type="dxa"/>
              <w:left w:w="108" w:type="dxa"/>
              <w:bottom w:w="0" w:type="dxa"/>
              <w:right w:w="108" w:type="dxa"/>
            </w:tcMar>
            <w:hideMark/>
          </w:tcPr>
          <w:p w:rsidR="00CD292D" w:rsidRDefault="00CD292D">
            <w:r>
              <w:t>Asfalty i lepiszcza asfaltowe - Oznaczanie czasu wypływu lepkościomierzem wypływowym - Część 1: Emulsje asfaltowe</w:t>
            </w:r>
          </w:p>
        </w:tc>
      </w:tr>
      <w:tr w:rsidR="00CD292D" w:rsidTr="00CD292D">
        <w:tc>
          <w:tcPr>
            <w:tcW w:w="708" w:type="dxa"/>
            <w:tcMar>
              <w:top w:w="0" w:type="dxa"/>
              <w:left w:w="108" w:type="dxa"/>
              <w:bottom w:w="0" w:type="dxa"/>
              <w:right w:w="108" w:type="dxa"/>
            </w:tcMar>
            <w:hideMark/>
          </w:tcPr>
          <w:p w:rsidR="00CD292D" w:rsidRDefault="00CD292D">
            <w:pPr>
              <w:jc w:val="center"/>
            </w:pPr>
            <w:r>
              <w:t>49.</w:t>
            </w:r>
          </w:p>
        </w:tc>
        <w:tc>
          <w:tcPr>
            <w:tcW w:w="2280" w:type="dxa"/>
            <w:tcMar>
              <w:top w:w="0" w:type="dxa"/>
              <w:left w:w="108" w:type="dxa"/>
              <w:bottom w:w="0" w:type="dxa"/>
              <w:right w:w="108" w:type="dxa"/>
            </w:tcMar>
            <w:hideMark/>
          </w:tcPr>
          <w:p w:rsidR="00CD292D" w:rsidRDefault="00CD292D">
            <w:r>
              <w:t>PN-EN 13043</w:t>
            </w:r>
          </w:p>
        </w:tc>
        <w:tc>
          <w:tcPr>
            <w:tcW w:w="7360" w:type="dxa"/>
            <w:tcMar>
              <w:top w:w="0" w:type="dxa"/>
              <w:left w:w="108" w:type="dxa"/>
              <w:bottom w:w="0" w:type="dxa"/>
              <w:right w:w="108" w:type="dxa"/>
            </w:tcMar>
            <w:hideMark/>
          </w:tcPr>
          <w:p w:rsidR="00CD292D" w:rsidRDefault="00CD292D">
            <w:r>
              <w:t>Kruszywa do mieszanek bitumicznych i powierzchniowych utrwaleń stosowanych na drogach, lotniskach i innych powierzchniach przeznaczonych do ruchu</w:t>
            </w:r>
          </w:p>
        </w:tc>
      </w:tr>
      <w:tr w:rsidR="00CD292D" w:rsidTr="00CD292D">
        <w:tc>
          <w:tcPr>
            <w:tcW w:w="708" w:type="dxa"/>
            <w:tcMar>
              <w:top w:w="0" w:type="dxa"/>
              <w:left w:w="108" w:type="dxa"/>
              <w:bottom w:w="0" w:type="dxa"/>
              <w:right w:w="108" w:type="dxa"/>
            </w:tcMar>
            <w:hideMark/>
          </w:tcPr>
          <w:p w:rsidR="00CD292D" w:rsidRDefault="00CD292D">
            <w:pPr>
              <w:jc w:val="center"/>
            </w:pPr>
            <w:r>
              <w:t>50.</w:t>
            </w:r>
          </w:p>
        </w:tc>
        <w:tc>
          <w:tcPr>
            <w:tcW w:w="2280" w:type="dxa"/>
            <w:tcMar>
              <w:top w:w="0" w:type="dxa"/>
              <w:left w:w="108" w:type="dxa"/>
              <w:bottom w:w="0" w:type="dxa"/>
              <w:right w:w="108" w:type="dxa"/>
            </w:tcMar>
            <w:hideMark/>
          </w:tcPr>
          <w:p w:rsidR="00CD292D" w:rsidRDefault="00CD292D">
            <w:r>
              <w:t>PN-EN 13108-1</w:t>
            </w:r>
          </w:p>
        </w:tc>
        <w:tc>
          <w:tcPr>
            <w:tcW w:w="7360" w:type="dxa"/>
            <w:tcMar>
              <w:top w:w="0" w:type="dxa"/>
              <w:left w:w="108" w:type="dxa"/>
              <w:bottom w:w="0" w:type="dxa"/>
              <w:right w:w="108" w:type="dxa"/>
            </w:tcMar>
            <w:hideMark/>
          </w:tcPr>
          <w:p w:rsidR="00CD292D" w:rsidRDefault="00CD292D">
            <w:r>
              <w:t>Mieszanki mineralno-asfaltowe – Wymagania – Część 1: Beton asfaltowy</w:t>
            </w:r>
          </w:p>
        </w:tc>
      </w:tr>
      <w:tr w:rsidR="00CD292D" w:rsidTr="00CD292D">
        <w:tc>
          <w:tcPr>
            <w:tcW w:w="708" w:type="dxa"/>
            <w:tcMar>
              <w:top w:w="0" w:type="dxa"/>
              <w:left w:w="108" w:type="dxa"/>
              <w:bottom w:w="0" w:type="dxa"/>
              <w:right w:w="108" w:type="dxa"/>
            </w:tcMar>
            <w:hideMark/>
          </w:tcPr>
          <w:p w:rsidR="00CD292D" w:rsidRDefault="00CD292D">
            <w:pPr>
              <w:jc w:val="center"/>
            </w:pPr>
            <w:r>
              <w:t>51.</w:t>
            </w:r>
          </w:p>
        </w:tc>
        <w:tc>
          <w:tcPr>
            <w:tcW w:w="2280" w:type="dxa"/>
            <w:tcMar>
              <w:top w:w="0" w:type="dxa"/>
              <w:left w:w="108" w:type="dxa"/>
              <w:bottom w:w="0" w:type="dxa"/>
              <w:right w:w="108" w:type="dxa"/>
            </w:tcMar>
            <w:hideMark/>
          </w:tcPr>
          <w:p w:rsidR="00CD292D" w:rsidRDefault="00CD292D">
            <w:r>
              <w:t>PN-EN 13108-4</w:t>
            </w:r>
          </w:p>
        </w:tc>
        <w:tc>
          <w:tcPr>
            <w:tcW w:w="7360" w:type="dxa"/>
            <w:tcMar>
              <w:top w:w="0" w:type="dxa"/>
              <w:left w:w="108" w:type="dxa"/>
              <w:bottom w:w="0" w:type="dxa"/>
              <w:right w:w="108" w:type="dxa"/>
            </w:tcMar>
            <w:hideMark/>
          </w:tcPr>
          <w:p w:rsidR="00CD292D" w:rsidRDefault="00CD292D">
            <w:r>
              <w:t>Mieszanki mineralno-asfaltowe - Wymagania - Część 4: Mieszanka HRA</w:t>
            </w:r>
          </w:p>
        </w:tc>
      </w:tr>
      <w:tr w:rsidR="00CD292D" w:rsidTr="00CD292D">
        <w:tc>
          <w:tcPr>
            <w:tcW w:w="708" w:type="dxa"/>
            <w:tcMar>
              <w:top w:w="0" w:type="dxa"/>
              <w:left w:w="108" w:type="dxa"/>
              <w:bottom w:w="0" w:type="dxa"/>
              <w:right w:w="108" w:type="dxa"/>
            </w:tcMar>
            <w:hideMark/>
          </w:tcPr>
          <w:p w:rsidR="00CD292D" w:rsidRDefault="00CD292D">
            <w:pPr>
              <w:jc w:val="center"/>
            </w:pPr>
            <w:r>
              <w:t>52.</w:t>
            </w:r>
          </w:p>
        </w:tc>
        <w:tc>
          <w:tcPr>
            <w:tcW w:w="2280" w:type="dxa"/>
            <w:tcMar>
              <w:top w:w="0" w:type="dxa"/>
              <w:left w:w="108" w:type="dxa"/>
              <w:bottom w:w="0" w:type="dxa"/>
              <w:right w:w="108" w:type="dxa"/>
            </w:tcMar>
            <w:hideMark/>
          </w:tcPr>
          <w:p w:rsidR="00CD292D" w:rsidRDefault="00CD292D">
            <w:r>
              <w:t>PN-EN 13108-20</w:t>
            </w:r>
          </w:p>
        </w:tc>
        <w:tc>
          <w:tcPr>
            <w:tcW w:w="7360" w:type="dxa"/>
            <w:tcMar>
              <w:top w:w="0" w:type="dxa"/>
              <w:left w:w="108" w:type="dxa"/>
              <w:bottom w:w="0" w:type="dxa"/>
              <w:right w:w="108" w:type="dxa"/>
            </w:tcMar>
            <w:hideMark/>
          </w:tcPr>
          <w:p w:rsidR="00CD292D" w:rsidRDefault="00CD292D">
            <w:r>
              <w:t>Mieszanki mineralno-asfaltowe – Wymagania – Część 20: Badanie typu</w:t>
            </w:r>
          </w:p>
        </w:tc>
      </w:tr>
      <w:tr w:rsidR="00CD292D" w:rsidTr="00CD292D">
        <w:tc>
          <w:tcPr>
            <w:tcW w:w="708" w:type="dxa"/>
            <w:tcMar>
              <w:top w:w="0" w:type="dxa"/>
              <w:left w:w="108" w:type="dxa"/>
              <w:bottom w:w="0" w:type="dxa"/>
              <w:right w:w="108" w:type="dxa"/>
            </w:tcMar>
            <w:hideMark/>
          </w:tcPr>
          <w:p w:rsidR="00CD292D" w:rsidRDefault="00CD292D">
            <w:pPr>
              <w:jc w:val="center"/>
            </w:pPr>
            <w:r>
              <w:t>53.</w:t>
            </w:r>
          </w:p>
        </w:tc>
        <w:tc>
          <w:tcPr>
            <w:tcW w:w="2280" w:type="dxa"/>
            <w:tcMar>
              <w:top w:w="0" w:type="dxa"/>
              <w:left w:w="108" w:type="dxa"/>
              <w:bottom w:w="0" w:type="dxa"/>
              <w:right w:w="108" w:type="dxa"/>
            </w:tcMar>
            <w:hideMark/>
          </w:tcPr>
          <w:p w:rsidR="00CD292D" w:rsidRDefault="00CD292D">
            <w:r>
              <w:t>PN-EN 13108-21</w:t>
            </w:r>
          </w:p>
        </w:tc>
        <w:tc>
          <w:tcPr>
            <w:tcW w:w="7360" w:type="dxa"/>
            <w:tcMar>
              <w:top w:w="0" w:type="dxa"/>
              <w:left w:w="108" w:type="dxa"/>
              <w:bottom w:w="0" w:type="dxa"/>
              <w:right w:w="108" w:type="dxa"/>
            </w:tcMar>
            <w:hideMark/>
          </w:tcPr>
          <w:p w:rsidR="00CD292D" w:rsidRDefault="00CD292D">
            <w:r>
              <w:t>Mieszanki mineralno-asfaltowe - Wymagania - Część 21: Zakładowa kontrola produkcji</w:t>
            </w:r>
          </w:p>
        </w:tc>
      </w:tr>
      <w:tr w:rsidR="00CD292D" w:rsidTr="00CD292D">
        <w:tc>
          <w:tcPr>
            <w:tcW w:w="708" w:type="dxa"/>
            <w:tcMar>
              <w:top w:w="0" w:type="dxa"/>
              <w:left w:w="108" w:type="dxa"/>
              <w:bottom w:w="0" w:type="dxa"/>
              <w:right w:w="108" w:type="dxa"/>
            </w:tcMar>
            <w:hideMark/>
          </w:tcPr>
          <w:p w:rsidR="00CD292D" w:rsidRDefault="00CD292D">
            <w:pPr>
              <w:jc w:val="center"/>
            </w:pPr>
            <w:r>
              <w:t>54.</w:t>
            </w:r>
          </w:p>
        </w:tc>
        <w:tc>
          <w:tcPr>
            <w:tcW w:w="2280" w:type="dxa"/>
            <w:tcMar>
              <w:top w:w="0" w:type="dxa"/>
              <w:left w:w="108" w:type="dxa"/>
              <w:bottom w:w="0" w:type="dxa"/>
              <w:right w:w="108" w:type="dxa"/>
            </w:tcMar>
            <w:hideMark/>
          </w:tcPr>
          <w:p w:rsidR="00CD292D" w:rsidRDefault="00CD292D">
            <w:r>
              <w:t>PN-EN 13179-1</w:t>
            </w:r>
          </w:p>
        </w:tc>
        <w:tc>
          <w:tcPr>
            <w:tcW w:w="7360" w:type="dxa"/>
            <w:tcMar>
              <w:top w:w="0" w:type="dxa"/>
              <w:left w:w="108" w:type="dxa"/>
              <w:bottom w:w="0" w:type="dxa"/>
              <w:right w:w="108" w:type="dxa"/>
            </w:tcMar>
            <w:hideMark/>
          </w:tcPr>
          <w:p w:rsidR="00CD292D" w:rsidRDefault="00CD292D">
            <w:r>
              <w:t>Badania kruszyw wypełniających stosowanych do mieszanek bitumicznych – Część 1: Badanie metodą pierścienia delta i kuli</w:t>
            </w:r>
          </w:p>
        </w:tc>
      </w:tr>
      <w:tr w:rsidR="00CD292D" w:rsidTr="00CD292D">
        <w:tc>
          <w:tcPr>
            <w:tcW w:w="708" w:type="dxa"/>
            <w:tcMar>
              <w:top w:w="0" w:type="dxa"/>
              <w:left w:w="108" w:type="dxa"/>
              <w:bottom w:w="0" w:type="dxa"/>
              <w:right w:w="108" w:type="dxa"/>
            </w:tcMar>
            <w:hideMark/>
          </w:tcPr>
          <w:p w:rsidR="00CD292D" w:rsidRDefault="00CD292D">
            <w:pPr>
              <w:jc w:val="center"/>
            </w:pPr>
            <w:r>
              <w:t>55.</w:t>
            </w:r>
          </w:p>
        </w:tc>
        <w:tc>
          <w:tcPr>
            <w:tcW w:w="2280" w:type="dxa"/>
            <w:tcMar>
              <w:top w:w="0" w:type="dxa"/>
              <w:left w:w="108" w:type="dxa"/>
              <w:bottom w:w="0" w:type="dxa"/>
              <w:right w:w="108" w:type="dxa"/>
            </w:tcMar>
            <w:hideMark/>
          </w:tcPr>
          <w:p w:rsidR="00CD292D" w:rsidRDefault="00CD292D">
            <w:r>
              <w:t>PN-EN 13179-2</w:t>
            </w:r>
          </w:p>
        </w:tc>
        <w:tc>
          <w:tcPr>
            <w:tcW w:w="7360" w:type="dxa"/>
            <w:tcMar>
              <w:top w:w="0" w:type="dxa"/>
              <w:left w:w="108" w:type="dxa"/>
              <w:bottom w:w="0" w:type="dxa"/>
              <w:right w:w="108" w:type="dxa"/>
            </w:tcMar>
            <w:hideMark/>
          </w:tcPr>
          <w:p w:rsidR="00CD292D" w:rsidRDefault="00CD292D">
            <w:r>
              <w:t>Badania kruszyw wypełniających stosowanych do mieszanek bitumicznych – Część 2: Liczba bitumiczna</w:t>
            </w:r>
          </w:p>
        </w:tc>
      </w:tr>
      <w:tr w:rsidR="00CD292D" w:rsidTr="00CD292D">
        <w:tc>
          <w:tcPr>
            <w:tcW w:w="708" w:type="dxa"/>
            <w:tcMar>
              <w:top w:w="0" w:type="dxa"/>
              <w:left w:w="108" w:type="dxa"/>
              <w:bottom w:w="0" w:type="dxa"/>
              <w:right w:w="108" w:type="dxa"/>
            </w:tcMar>
            <w:hideMark/>
          </w:tcPr>
          <w:p w:rsidR="00CD292D" w:rsidRDefault="00CD292D">
            <w:pPr>
              <w:jc w:val="center"/>
            </w:pPr>
            <w:r>
              <w:t>56.</w:t>
            </w:r>
          </w:p>
        </w:tc>
        <w:tc>
          <w:tcPr>
            <w:tcW w:w="2280" w:type="dxa"/>
            <w:tcMar>
              <w:top w:w="0" w:type="dxa"/>
              <w:left w:w="108" w:type="dxa"/>
              <w:bottom w:w="0" w:type="dxa"/>
              <w:right w:w="108" w:type="dxa"/>
            </w:tcMar>
            <w:hideMark/>
          </w:tcPr>
          <w:p w:rsidR="00CD292D" w:rsidRDefault="00CD292D">
            <w:r>
              <w:t>PN-EN 13398</w:t>
            </w:r>
          </w:p>
        </w:tc>
        <w:tc>
          <w:tcPr>
            <w:tcW w:w="7360" w:type="dxa"/>
            <w:tcMar>
              <w:top w:w="0" w:type="dxa"/>
              <w:left w:w="108" w:type="dxa"/>
              <w:bottom w:w="0" w:type="dxa"/>
              <w:right w:w="108" w:type="dxa"/>
            </w:tcMar>
            <w:hideMark/>
          </w:tcPr>
          <w:p w:rsidR="00CD292D" w:rsidRDefault="00CD292D">
            <w:r>
              <w:t>Asfalty i lepiszcza asfaltowe – Oznaczanie nawrotu sprężystego asfaltów modyfikowanych</w:t>
            </w:r>
          </w:p>
        </w:tc>
      </w:tr>
      <w:tr w:rsidR="00CD292D" w:rsidTr="00CD292D">
        <w:tc>
          <w:tcPr>
            <w:tcW w:w="708" w:type="dxa"/>
            <w:tcMar>
              <w:top w:w="0" w:type="dxa"/>
              <w:left w:w="108" w:type="dxa"/>
              <w:bottom w:w="0" w:type="dxa"/>
              <w:right w:w="108" w:type="dxa"/>
            </w:tcMar>
            <w:hideMark/>
          </w:tcPr>
          <w:p w:rsidR="00CD292D" w:rsidRDefault="00CD292D">
            <w:pPr>
              <w:jc w:val="center"/>
            </w:pPr>
            <w:r>
              <w:t>57.</w:t>
            </w:r>
          </w:p>
        </w:tc>
        <w:tc>
          <w:tcPr>
            <w:tcW w:w="2280" w:type="dxa"/>
            <w:tcMar>
              <w:top w:w="0" w:type="dxa"/>
              <w:left w:w="108" w:type="dxa"/>
              <w:bottom w:w="0" w:type="dxa"/>
              <w:right w:w="108" w:type="dxa"/>
            </w:tcMar>
            <w:hideMark/>
          </w:tcPr>
          <w:p w:rsidR="00CD292D" w:rsidRDefault="00CD292D">
            <w:r>
              <w:t>PN-EN 13399</w:t>
            </w:r>
          </w:p>
        </w:tc>
        <w:tc>
          <w:tcPr>
            <w:tcW w:w="7360" w:type="dxa"/>
            <w:tcMar>
              <w:top w:w="0" w:type="dxa"/>
              <w:left w:w="108" w:type="dxa"/>
              <w:bottom w:w="0" w:type="dxa"/>
              <w:right w:w="108" w:type="dxa"/>
            </w:tcMar>
            <w:hideMark/>
          </w:tcPr>
          <w:p w:rsidR="00CD292D" w:rsidRDefault="00CD292D">
            <w:r>
              <w:t xml:space="preserve">Asfalty i lepiszcza asfaltowe – Oznaczanie stabilności podczas magazynowania asfaltów modyfikowanych </w:t>
            </w:r>
          </w:p>
        </w:tc>
      </w:tr>
      <w:tr w:rsidR="00CD292D" w:rsidTr="00CD292D">
        <w:tc>
          <w:tcPr>
            <w:tcW w:w="708" w:type="dxa"/>
            <w:tcMar>
              <w:top w:w="0" w:type="dxa"/>
              <w:left w:w="108" w:type="dxa"/>
              <w:bottom w:w="0" w:type="dxa"/>
              <w:right w:w="108" w:type="dxa"/>
            </w:tcMar>
            <w:hideMark/>
          </w:tcPr>
          <w:p w:rsidR="00CD292D" w:rsidRDefault="00CD292D">
            <w:pPr>
              <w:jc w:val="center"/>
            </w:pPr>
            <w:r>
              <w:t>58.</w:t>
            </w:r>
          </w:p>
        </w:tc>
        <w:tc>
          <w:tcPr>
            <w:tcW w:w="2280" w:type="dxa"/>
            <w:tcMar>
              <w:top w:w="0" w:type="dxa"/>
              <w:left w:w="108" w:type="dxa"/>
              <w:bottom w:w="0" w:type="dxa"/>
              <w:right w:w="108" w:type="dxa"/>
            </w:tcMar>
            <w:hideMark/>
          </w:tcPr>
          <w:p w:rsidR="00CD292D" w:rsidRDefault="00CD292D">
            <w:r>
              <w:t>PN-EN 13587</w:t>
            </w:r>
          </w:p>
        </w:tc>
        <w:tc>
          <w:tcPr>
            <w:tcW w:w="7360" w:type="dxa"/>
            <w:tcMar>
              <w:top w:w="0" w:type="dxa"/>
              <w:left w:w="108" w:type="dxa"/>
              <w:bottom w:w="0" w:type="dxa"/>
              <w:right w:w="108" w:type="dxa"/>
            </w:tcMar>
            <w:hideMark/>
          </w:tcPr>
          <w:p w:rsidR="00CD292D" w:rsidRDefault="00CD292D">
            <w:r>
              <w:t>Asfalty i lepiszcza asfaltowe – Oznaczanie właściwości mechanicznych lepiszczy asfaltowych metodą rozciągania</w:t>
            </w:r>
          </w:p>
        </w:tc>
      </w:tr>
      <w:tr w:rsidR="00CD292D" w:rsidTr="00CD292D">
        <w:tc>
          <w:tcPr>
            <w:tcW w:w="708" w:type="dxa"/>
            <w:tcMar>
              <w:top w:w="0" w:type="dxa"/>
              <w:left w:w="108" w:type="dxa"/>
              <w:bottom w:w="0" w:type="dxa"/>
              <w:right w:w="108" w:type="dxa"/>
            </w:tcMar>
            <w:hideMark/>
          </w:tcPr>
          <w:p w:rsidR="00CD292D" w:rsidRDefault="00CD292D">
            <w:pPr>
              <w:jc w:val="center"/>
            </w:pPr>
            <w:r>
              <w:t>59.</w:t>
            </w:r>
          </w:p>
        </w:tc>
        <w:tc>
          <w:tcPr>
            <w:tcW w:w="2280" w:type="dxa"/>
            <w:tcMar>
              <w:top w:w="0" w:type="dxa"/>
              <w:left w:w="108" w:type="dxa"/>
              <w:bottom w:w="0" w:type="dxa"/>
              <w:right w:w="108" w:type="dxa"/>
            </w:tcMar>
            <w:hideMark/>
          </w:tcPr>
          <w:p w:rsidR="00CD292D" w:rsidRDefault="00CD292D">
            <w:r>
              <w:t>PN-EN 13588</w:t>
            </w:r>
          </w:p>
        </w:tc>
        <w:tc>
          <w:tcPr>
            <w:tcW w:w="7360" w:type="dxa"/>
            <w:tcMar>
              <w:top w:w="0" w:type="dxa"/>
              <w:left w:w="108" w:type="dxa"/>
              <w:bottom w:w="0" w:type="dxa"/>
              <w:right w:w="108" w:type="dxa"/>
            </w:tcMar>
            <w:hideMark/>
          </w:tcPr>
          <w:p w:rsidR="00CD292D" w:rsidRDefault="00CD292D">
            <w:r>
              <w:t>Asfalty i lepiszcza asfaltowe – Oznaczanie kohezji lepiszczy asfaltowych metodą testu wahadłowego</w:t>
            </w:r>
          </w:p>
        </w:tc>
      </w:tr>
      <w:tr w:rsidR="00CD292D" w:rsidTr="00CD292D">
        <w:tc>
          <w:tcPr>
            <w:tcW w:w="708" w:type="dxa"/>
            <w:tcMar>
              <w:top w:w="0" w:type="dxa"/>
              <w:left w:w="108" w:type="dxa"/>
              <w:bottom w:w="0" w:type="dxa"/>
              <w:right w:w="108" w:type="dxa"/>
            </w:tcMar>
            <w:hideMark/>
          </w:tcPr>
          <w:p w:rsidR="00CD292D" w:rsidRDefault="00CD292D">
            <w:pPr>
              <w:jc w:val="center"/>
            </w:pPr>
            <w:r>
              <w:t>60.</w:t>
            </w:r>
          </w:p>
        </w:tc>
        <w:tc>
          <w:tcPr>
            <w:tcW w:w="2280" w:type="dxa"/>
            <w:tcMar>
              <w:top w:w="0" w:type="dxa"/>
              <w:left w:w="108" w:type="dxa"/>
              <w:bottom w:w="0" w:type="dxa"/>
              <w:right w:w="108" w:type="dxa"/>
            </w:tcMar>
            <w:hideMark/>
          </w:tcPr>
          <w:p w:rsidR="00CD292D" w:rsidRDefault="00CD292D">
            <w:r>
              <w:t>PN-EN 13589</w:t>
            </w:r>
          </w:p>
        </w:tc>
        <w:tc>
          <w:tcPr>
            <w:tcW w:w="7360" w:type="dxa"/>
            <w:tcMar>
              <w:top w:w="0" w:type="dxa"/>
              <w:left w:w="108" w:type="dxa"/>
              <w:bottom w:w="0" w:type="dxa"/>
              <w:right w:w="108" w:type="dxa"/>
            </w:tcMar>
            <w:hideMark/>
          </w:tcPr>
          <w:p w:rsidR="00CD292D" w:rsidRDefault="00CD292D">
            <w:r>
              <w:t>Asfalty i lepiszcza asfaltowe – Oznaczanie siły rozciągania asfaltów modyfikowanych – Metoda z duktylometrem</w:t>
            </w:r>
          </w:p>
        </w:tc>
      </w:tr>
      <w:tr w:rsidR="00CD292D" w:rsidTr="00CD292D">
        <w:tc>
          <w:tcPr>
            <w:tcW w:w="708" w:type="dxa"/>
            <w:tcMar>
              <w:top w:w="0" w:type="dxa"/>
              <w:left w:w="108" w:type="dxa"/>
              <w:bottom w:w="0" w:type="dxa"/>
              <w:right w:w="108" w:type="dxa"/>
            </w:tcMar>
            <w:hideMark/>
          </w:tcPr>
          <w:p w:rsidR="00CD292D" w:rsidRDefault="00CD292D">
            <w:pPr>
              <w:jc w:val="center"/>
            </w:pPr>
            <w:r>
              <w:t>61.</w:t>
            </w:r>
          </w:p>
        </w:tc>
        <w:tc>
          <w:tcPr>
            <w:tcW w:w="2280" w:type="dxa"/>
            <w:tcMar>
              <w:top w:w="0" w:type="dxa"/>
              <w:left w:w="108" w:type="dxa"/>
              <w:bottom w:w="0" w:type="dxa"/>
              <w:right w:w="108" w:type="dxa"/>
            </w:tcMar>
            <w:hideMark/>
          </w:tcPr>
          <w:p w:rsidR="00CD292D" w:rsidRDefault="00CD292D">
            <w:r>
              <w:t>PN-EN 13703</w:t>
            </w:r>
          </w:p>
        </w:tc>
        <w:tc>
          <w:tcPr>
            <w:tcW w:w="7360" w:type="dxa"/>
            <w:tcMar>
              <w:top w:w="0" w:type="dxa"/>
              <w:left w:w="108" w:type="dxa"/>
              <w:bottom w:w="0" w:type="dxa"/>
              <w:right w:w="108" w:type="dxa"/>
            </w:tcMar>
            <w:hideMark/>
          </w:tcPr>
          <w:p w:rsidR="00CD292D" w:rsidRDefault="00CD292D">
            <w:r>
              <w:t>Asfalty i lepiszcza asfaltowe – Oznaczanie energii odkształcenia</w:t>
            </w:r>
          </w:p>
        </w:tc>
      </w:tr>
      <w:tr w:rsidR="00CD292D" w:rsidTr="00CD292D">
        <w:tc>
          <w:tcPr>
            <w:tcW w:w="708" w:type="dxa"/>
            <w:tcMar>
              <w:top w:w="0" w:type="dxa"/>
              <w:left w:w="108" w:type="dxa"/>
              <w:bottom w:w="0" w:type="dxa"/>
              <w:right w:w="108" w:type="dxa"/>
            </w:tcMar>
            <w:hideMark/>
          </w:tcPr>
          <w:p w:rsidR="00CD292D" w:rsidRDefault="00CD292D">
            <w:pPr>
              <w:jc w:val="center"/>
            </w:pPr>
            <w:r>
              <w:t>62.</w:t>
            </w:r>
          </w:p>
        </w:tc>
        <w:tc>
          <w:tcPr>
            <w:tcW w:w="2280" w:type="dxa"/>
            <w:tcMar>
              <w:top w:w="0" w:type="dxa"/>
              <w:left w:w="108" w:type="dxa"/>
              <w:bottom w:w="0" w:type="dxa"/>
              <w:right w:w="108" w:type="dxa"/>
            </w:tcMar>
            <w:hideMark/>
          </w:tcPr>
          <w:p w:rsidR="00CD292D" w:rsidRDefault="00CD292D">
            <w:r>
              <w:t>PN-EN 13808</w:t>
            </w:r>
          </w:p>
        </w:tc>
        <w:tc>
          <w:tcPr>
            <w:tcW w:w="7360" w:type="dxa"/>
            <w:tcMar>
              <w:top w:w="0" w:type="dxa"/>
              <w:left w:w="108" w:type="dxa"/>
              <w:bottom w:w="0" w:type="dxa"/>
              <w:right w:w="108" w:type="dxa"/>
            </w:tcMar>
            <w:hideMark/>
          </w:tcPr>
          <w:p w:rsidR="00CD292D" w:rsidRDefault="00CD292D">
            <w:r>
              <w:t>Asfalty i lepiszcza asfaltowe – Zasady specyfikacji kationowych emulsji asfaltowych</w:t>
            </w:r>
          </w:p>
        </w:tc>
      </w:tr>
      <w:tr w:rsidR="00CD292D" w:rsidTr="00CD292D">
        <w:tc>
          <w:tcPr>
            <w:tcW w:w="708" w:type="dxa"/>
            <w:tcMar>
              <w:top w:w="0" w:type="dxa"/>
              <w:left w:w="108" w:type="dxa"/>
              <w:bottom w:w="0" w:type="dxa"/>
              <w:right w:w="108" w:type="dxa"/>
            </w:tcMar>
            <w:hideMark/>
          </w:tcPr>
          <w:p w:rsidR="00CD292D" w:rsidRDefault="00CD292D">
            <w:pPr>
              <w:jc w:val="center"/>
            </w:pPr>
            <w:r>
              <w:t>62a.</w:t>
            </w:r>
          </w:p>
        </w:tc>
        <w:tc>
          <w:tcPr>
            <w:tcW w:w="2280" w:type="dxa"/>
            <w:tcMar>
              <w:top w:w="0" w:type="dxa"/>
              <w:left w:w="108" w:type="dxa"/>
              <w:bottom w:w="0" w:type="dxa"/>
              <w:right w:w="108" w:type="dxa"/>
            </w:tcMar>
            <w:hideMark/>
          </w:tcPr>
          <w:p w:rsidR="00CD292D" w:rsidRDefault="00CD292D">
            <w:r>
              <w:t>PN-EN 13808:2013-10/Ap1:2014-07</w:t>
            </w:r>
          </w:p>
        </w:tc>
        <w:tc>
          <w:tcPr>
            <w:tcW w:w="7360" w:type="dxa"/>
            <w:tcMar>
              <w:top w:w="0" w:type="dxa"/>
              <w:left w:w="108" w:type="dxa"/>
              <w:bottom w:w="0" w:type="dxa"/>
              <w:right w:w="108" w:type="dxa"/>
            </w:tcMar>
            <w:hideMark/>
          </w:tcPr>
          <w:p w:rsidR="00CD292D" w:rsidRDefault="00CD292D">
            <w:r>
              <w:t>Asfalty i lepiszcza asfaltowe – Zasady specyfikacji kationowych emulsji asfaltowych. Załącznik krajowy NA</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63.</w:t>
            </w:r>
          </w:p>
        </w:tc>
        <w:tc>
          <w:tcPr>
            <w:tcW w:w="2280" w:type="dxa"/>
            <w:tcMar>
              <w:top w:w="0" w:type="dxa"/>
              <w:left w:w="108" w:type="dxa"/>
              <w:bottom w:w="0" w:type="dxa"/>
              <w:right w:w="108" w:type="dxa"/>
            </w:tcMar>
            <w:hideMark/>
          </w:tcPr>
          <w:p w:rsidR="00CD292D" w:rsidRDefault="00CD292D">
            <w:r>
              <w:t>PN-EN 13924-2</w:t>
            </w:r>
          </w:p>
        </w:tc>
        <w:tc>
          <w:tcPr>
            <w:tcW w:w="7360" w:type="dxa"/>
            <w:tcMar>
              <w:top w:w="0" w:type="dxa"/>
              <w:left w:w="108" w:type="dxa"/>
              <w:bottom w:w="0" w:type="dxa"/>
              <w:right w:w="108" w:type="dxa"/>
            </w:tcMar>
            <w:hideMark/>
          </w:tcPr>
          <w:p w:rsidR="00CD292D" w:rsidRDefault="00CD292D">
            <w:r>
              <w:t xml:space="preserve">Asfalty i lepiszcza asfaltowe - Zasady klasyfikacji asfaltów drogowych specjalnych - Część 2: Asfalty drogowe wielorodzajowe </w:t>
            </w:r>
          </w:p>
        </w:tc>
      </w:tr>
      <w:tr w:rsidR="00CD292D" w:rsidTr="00CD292D">
        <w:tc>
          <w:tcPr>
            <w:tcW w:w="708" w:type="dxa"/>
            <w:tcMar>
              <w:top w:w="0" w:type="dxa"/>
              <w:left w:w="108" w:type="dxa"/>
              <w:bottom w:w="0" w:type="dxa"/>
              <w:right w:w="108" w:type="dxa"/>
            </w:tcMar>
            <w:hideMark/>
          </w:tcPr>
          <w:p w:rsidR="00CD292D" w:rsidRDefault="00CD292D">
            <w:pPr>
              <w:jc w:val="center"/>
            </w:pPr>
            <w:r>
              <w:t>63a</w:t>
            </w:r>
          </w:p>
        </w:tc>
        <w:tc>
          <w:tcPr>
            <w:tcW w:w="2280" w:type="dxa"/>
            <w:tcMar>
              <w:top w:w="0" w:type="dxa"/>
              <w:left w:w="108" w:type="dxa"/>
              <w:bottom w:w="0" w:type="dxa"/>
              <w:right w:w="108" w:type="dxa"/>
            </w:tcMar>
            <w:hideMark/>
          </w:tcPr>
          <w:p w:rsidR="00CD292D" w:rsidRDefault="00CD292D">
            <w:pPr>
              <w:rPr>
                <w:lang w:val="en-US"/>
              </w:rPr>
            </w:pPr>
            <w:r>
              <w:rPr>
                <w:lang w:val="en-US"/>
              </w:rPr>
              <w:t>PN-EN 13924-2:</w:t>
            </w:r>
          </w:p>
          <w:p w:rsidR="00CD292D" w:rsidRDefault="00CD292D">
            <w:pPr>
              <w:rPr>
                <w:lang w:val="en-US"/>
              </w:rPr>
            </w:pPr>
            <w:r>
              <w:rPr>
                <w:lang w:val="en-US"/>
              </w:rPr>
              <w:t>2014-04/Ap1:</w:t>
            </w:r>
          </w:p>
          <w:p w:rsidR="00CD292D" w:rsidRDefault="00CD292D">
            <w:pPr>
              <w:rPr>
                <w:lang w:val="en-US"/>
              </w:rPr>
            </w:pPr>
            <w:r>
              <w:rPr>
                <w:lang w:val="en-US"/>
              </w:rPr>
              <w:t>2014-07 i PN-EN 13924-2:2014-04/Ap2:2015-09E</w:t>
            </w:r>
          </w:p>
        </w:tc>
        <w:tc>
          <w:tcPr>
            <w:tcW w:w="7360" w:type="dxa"/>
            <w:tcMar>
              <w:top w:w="0" w:type="dxa"/>
              <w:left w:w="108" w:type="dxa"/>
              <w:bottom w:w="0" w:type="dxa"/>
              <w:right w:w="108" w:type="dxa"/>
            </w:tcMar>
            <w:hideMark/>
          </w:tcPr>
          <w:p w:rsidR="00CD292D" w:rsidRDefault="00CD292D">
            <w:r>
              <w:t>Asfalty i lepiszcza asfaltowe - Zasady klasyfikacji asfaltów drogowych specjalnych - Część 2: Asfalty drogowe wielorodzajowe. Załącznik krajowy NA</w:t>
            </w:r>
          </w:p>
        </w:tc>
      </w:tr>
      <w:tr w:rsidR="00CD292D" w:rsidTr="00CD292D">
        <w:tc>
          <w:tcPr>
            <w:tcW w:w="708" w:type="dxa"/>
            <w:tcMar>
              <w:top w:w="0" w:type="dxa"/>
              <w:left w:w="108" w:type="dxa"/>
              <w:bottom w:w="0" w:type="dxa"/>
              <w:right w:w="108" w:type="dxa"/>
            </w:tcMar>
            <w:hideMark/>
          </w:tcPr>
          <w:p w:rsidR="00CD292D" w:rsidRDefault="00CD292D">
            <w:pPr>
              <w:jc w:val="center"/>
            </w:pPr>
            <w:r>
              <w:t>64.</w:t>
            </w:r>
          </w:p>
        </w:tc>
        <w:tc>
          <w:tcPr>
            <w:tcW w:w="2280" w:type="dxa"/>
            <w:tcMar>
              <w:top w:w="0" w:type="dxa"/>
              <w:left w:w="108" w:type="dxa"/>
              <w:bottom w:w="0" w:type="dxa"/>
              <w:right w:w="108" w:type="dxa"/>
            </w:tcMar>
            <w:hideMark/>
          </w:tcPr>
          <w:p w:rsidR="00CD292D" w:rsidRDefault="00CD292D">
            <w:r>
              <w:t xml:space="preserve">PN-EN 14023           </w:t>
            </w:r>
          </w:p>
        </w:tc>
        <w:tc>
          <w:tcPr>
            <w:tcW w:w="7360" w:type="dxa"/>
            <w:tcMar>
              <w:top w:w="0" w:type="dxa"/>
              <w:left w:w="108" w:type="dxa"/>
              <w:bottom w:w="0" w:type="dxa"/>
              <w:right w:w="108" w:type="dxa"/>
            </w:tcMar>
            <w:hideMark/>
          </w:tcPr>
          <w:p w:rsidR="00CD292D" w:rsidRDefault="00CD292D">
            <w:r>
              <w:t>Asfalty i lepiszcza asfaltowe – Zasady specyfikacji asfaltów modyfikowanych polimerami</w:t>
            </w:r>
          </w:p>
        </w:tc>
      </w:tr>
      <w:tr w:rsidR="00CD292D" w:rsidTr="00CD292D">
        <w:tc>
          <w:tcPr>
            <w:tcW w:w="708" w:type="dxa"/>
            <w:tcMar>
              <w:top w:w="0" w:type="dxa"/>
              <w:left w:w="108" w:type="dxa"/>
              <w:bottom w:w="0" w:type="dxa"/>
              <w:right w:w="108" w:type="dxa"/>
            </w:tcMar>
            <w:hideMark/>
          </w:tcPr>
          <w:p w:rsidR="00CD292D" w:rsidRDefault="00CD292D">
            <w:pPr>
              <w:jc w:val="center"/>
            </w:pPr>
            <w:r>
              <w:t>64a.</w:t>
            </w:r>
          </w:p>
        </w:tc>
        <w:tc>
          <w:tcPr>
            <w:tcW w:w="2280" w:type="dxa"/>
            <w:tcMar>
              <w:top w:w="0" w:type="dxa"/>
              <w:left w:w="108" w:type="dxa"/>
              <w:bottom w:w="0" w:type="dxa"/>
              <w:right w:w="108" w:type="dxa"/>
            </w:tcMar>
            <w:hideMark/>
          </w:tcPr>
          <w:p w:rsidR="00CD292D" w:rsidRDefault="00CD292D">
            <w:r>
              <w:t>PN-EN 14023:2011/Ap1:</w:t>
            </w:r>
          </w:p>
          <w:p w:rsidR="00CD292D" w:rsidRDefault="00CD292D">
            <w:r>
              <w:t>2014-04</w:t>
            </w:r>
          </w:p>
        </w:tc>
        <w:tc>
          <w:tcPr>
            <w:tcW w:w="7360" w:type="dxa"/>
            <w:tcMar>
              <w:top w:w="0" w:type="dxa"/>
              <w:left w:w="108" w:type="dxa"/>
              <w:bottom w:w="0" w:type="dxa"/>
              <w:right w:w="108" w:type="dxa"/>
            </w:tcMar>
            <w:hideMark/>
          </w:tcPr>
          <w:p w:rsidR="00CD292D" w:rsidRDefault="00CD292D">
            <w:r>
              <w:t>Asfalty i lepiszcza asfaltowe – Zasady klasyfikacji asfaltów modyfikowanych polimerami. Załącznik krajowy NA</w:t>
            </w:r>
          </w:p>
        </w:tc>
      </w:tr>
      <w:tr w:rsidR="00CD292D" w:rsidTr="00CD292D">
        <w:tc>
          <w:tcPr>
            <w:tcW w:w="708" w:type="dxa"/>
            <w:tcMar>
              <w:top w:w="0" w:type="dxa"/>
              <w:left w:w="108" w:type="dxa"/>
              <w:bottom w:w="0" w:type="dxa"/>
              <w:right w:w="108" w:type="dxa"/>
            </w:tcMar>
            <w:hideMark/>
          </w:tcPr>
          <w:p w:rsidR="00CD292D" w:rsidRDefault="00CD292D">
            <w:pPr>
              <w:jc w:val="center"/>
            </w:pPr>
            <w:r>
              <w:t>65.</w:t>
            </w:r>
          </w:p>
        </w:tc>
        <w:tc>
          <w:tcPr>
            <w:tcW w:w="2280" w:type="dxa"/>
            <w:tcMar>
              <w:top w:w="0" w:type="dxa"/>
              <w:left w:w="108" w:type="dxa"/>
              <w:bottom w:w="0" w:type="dxa"/>
              <w:right w:w="108" w:type="dxa"/>
            </w:tcMar>
            <w:hideMark/>
          </w:tcPr>
          <w:p w:rsidR="00CD292D" w:rsidRDefault="00CD292D">
            <w:r>
              <w:t>PN-EN 14188-1</w:t>
            </w:r>
          </w:p>
        </w:tc>
        <w:tc>
          <w:tcPr>
            <w:tcW w:w="7360" w:type="dxa"/>
            <w:tcMar>
              <w:top w:w="0" w:type="dxa"/>
              <w:left w:w="108" w:type="dxa"/>
              <w:bottom w:w="0" w:type="dxa"/>
              <w:right w:w="108" w:type="dxa"/>
            </w:tcMar>
            <w:hideMark/>
          </w:tcPr>
          <w:p w:rsidR="00CD292D" w:rsidRDefault="00CD292D">
            <w:r>
              <w:t>Wypełniacze szczelin i zalewy drogowe – Część 1: Wymagania wobec zalew drogowych na gorąco</w:t>
            </w:r>
          </w:p>
        </w:tc>
      </w:tr>
      <w:tr w:rsidR="00CD292D" w:rsidTr="00CD292D">
        <w:tc>
          <w:tcPr>
            <w:tcW w:w="708" w:type="dxa"/>
            <w:tcMar>
              <w:top w:w="0" w:type="dxa"/>
              <w:left w:w="108" w:type="dxa"/>
              <w:bottom w:w="0" w:type="dxa"/>
              <w:right w:w="108" w:type="dxa"/>
            </w:tcMar>
            <w:hideMark/>
          </w:tcPr>
          <w:p w:rsidR="00CD292D" w:rsidRDefault="00CD292D">
            <w:pPr>
              <w:jc w:val="center"/>
            </w:pPr>
            <w:r>
              <w:t>66.</w:t>
            </w:r>
          </w:p>
        </w:tc>
        <w:tc>
          <w:tcPr>
            <w:tcW w:w="2280" w:type="dxa"/>
            <w:tcMar>
              <w:top w:w="0" w:type="dxa"/>
              <w:left w:w="108" w:type="dxa"/>
              <w:bottom w:w="0" w:type="dxa"/>
              <w:right w:w="108" w:type="dxa"/>
            </w:tcMar>
            <w:hideMark/>
          </w:tcPr>
          <w:p w:rsidR="00CD292D" w:rsidRDefault="00CD292D">
            <w:r>
              <w:t>PN-EN 14188-2</w:t>
            </w:r>
          </w:p>
        </w:tc>
        <w:tc>
          <w:tcPr>
            <w:tcW w:w="7360" w:type="dxa"/>
            <w:tcMar>
              <w:top w:w="0" w:type="dxa"/>
              <w:left w:w="108" w:type="dxa"/>
              <w:bottom w:w="0" w:type="dxa"/>
              <w:right w:w="108" w:type="dxa"/>
            </w:tcMar>
            <w:hideMark/>
          </w:tcPr>
          <w:p w:rsidR="00CD292D" w:rsidRDefault="00CD292D">
            <w:r>
              <w:t>Wypełniacze szczelin i zalewy drogowe – Część 2: Wymagania wobec zalew drogowych na zimno</w:t>
            </w:r>
          </w:p>
        </w:tc>
      </w:tr>
      <w:tr w:rsidR="00CD292D" w:rsidTr="00CD292D">
        <w:tc>
          <w:tcPr>
            <w:tcW w:w="708" w:type="dxa"/>
            <w:tcMar>
              <w:top w:w="0" w:type="dxa"/>
              <w:left w:w="108" w:type="dxa"/>
              <w:bottom w:w="0" w:type="dxa"/>
              <w:right w:w="108" w:type="dxa"/>
            </w:tcMar>
            <w:hideMark/>
          </w:tcPr>
          <w:p w:rsidR="00CD292D" w:rsidRDefault="00CD292D">
            <w:pPr>
              <w:jc w:val="center"/>
            </w:pPr>
            <w:r>
              <w:t>67.</w:t>
            </w:r>
          </w:p>
        </w:tc>
        <w:tc>
          <w:tcPr>
            <w:tcW w:w="2280" w:type="dxa"/>
            <w:tcMar>
              <w:top w:w="0" w:type="dxa"/>
              <w:left w:w="108" w:type="dxa"/>
              <w:bottom w:w="0" w:type="dxa"/>
              <w:right w:w="108" w:type="dxa"/>
            </w:tcMar>
            <w:hideMark/>
          </w:tcPr>
          <w:p w:rsidR="00CD292D" w:rsidRDefault="00CD292D">
            <w:r>
              <w:t>PN-EN 22592</w:t>
            </w:r>
          </w:p>
        </w:tc>
        <w:tc>
          <w:tcPr>
            <w:tcW w:w="7360" w:type="dxa"/>
            <w:tcMar>
              <w:top w:w="0" w:type="dxa"/>
              <w:left w:w="108" w:type="dxa"/>
              <w:bottom w:w="0" w:type="dxa"/>
              <w:right w:w="108" w:type="dxa"/>
            </w:tcMar>
            <w:hideMark/>
          </w:tcPr>
          <w:p w:rsidR="00CD292D" w:rsidRDefault="00CD292D">
            <w:r>
              <w:t>Przetwory naftowe – Oznaczanie temperatury zapłonu i palenia – Pomiar metodą otwartego tygla Clevelanda</w:t>
            </w:r>
          </w:p>
        </w:tc>
      </w:tr>
      <w:tr w:rsidR="00CD292D" w:rsidTr="00CD292D">
        <w:tc>
          <w:tcPr>
            <w:tcW w:w="708" w:type="dxa"/>
            <w:tcMar>
              <w:top w:w="0" w:type="dxa"/>
              <w:left w:w="108" w:type="dxa"/>
              <w:bottom w:w="0" w:type="dxa"/>
              <w:right w:w="108" w:type="dxa"/>
            </w:tcMar>
            <w:hideMark/>
          </w:tcPr>
          <w:p w:rsidR="00CD292D" w:rsidRDefault="00CD292D">
            <w:pPr>
              <w:jc w:val="center"/>
            </w:pPr>
            <w:r>
              <w:t>68.</w:t>
            </w:r>
          </w:p>
        </w:tc>
        <w:tc>
          <w:tcPr>
            <w:tcW w:w="2280" w:type="dxa"/>
            <w:tcMar>
              <w:top w:w="0" w:type="dxa"/>
              <w:left w:w="108" w:type="dxa"/>
              <w:bottom w:w="0" w:type="dxa"/>
              <w:right w:w="108" w:type="dxa"/>
            </w:tcMar>
            <w:hideMark/>
          </w:tcPr>
          <w:p w:rsidR="00CD292D" w:rsidRDefault="00CD292D">
            <w:r>
              <w:t>PN-EN ISO 2592</w:t>
            </w:r>
          </w:p>
        </w:tc>
        <w:tc>
          <w:tcPr>
            <w:tcW w:w="7360" w:type="dxa"/>
            <w:tcMar>
              <w:top w:w="0" w:type="dxa"/>
              <w:left w:w="108" w:type="dxa"/>
              <w:bottom w:w="0" w:type="dxa"/>
              <w:right w:w="108" w:type="dxa"/>
            </w:tcMar>
            <w:hideMark/>
          </w:tcPr>
          <w:p w:rsidR="00CD292D" w:rsidRDefault="00CD292D">
            <w:r>
              <w:t>Oznaczanie temperatury zapłonu i palenia – Metoda otwartego tygla Clevelanda</w:t>
            </w:r>
          </w:p>
        </w:tc>
      </w:tr>
      <w:tr w:rsidR="00CD292D" w:rsidTr="00CD292D">
        <w:tc>
          <w:tcPr>
            <w:tcW w:w="708" w:type="dxa"/>
            <w:tcMar>
              <w:top w:w="0" w:type="dxa"/>
              <w:left w:w="108" w:type="dxa"/>
              <w:bottom w:w="0" w:type="dxa"/>
              <w:right w:w="108" w:type="dxa"/>
            </w:tcMar>
            <w:hideMark/>
          </w:tcPr>
          <w:p w:rsidR="00CD292D" w:rsidRDefault="00CD292D">
            <w:pPr>
              <w:jc w:val="center"/>
            </w:pPr>
            <w:r>
              <w:t>69.</w:t>
            </w:r>
          </w:p>
        </w:tc>
        <w:tc>
          <w:tcPr>
            <w:tcW w:w="2280" w:type="dxa"/>
            <w:tcMar>
              <w:top w:w="0" w:type="dxa"/>
              <w:left w:w="108" w:type="dxa"/>
              <w:bottom w:w="0" w:type="dxa"/>
              <w:right w:w="108" w:type="dxa"/>
            </w:tcMar>
            <w:hideMark/>
          </w:tcPr>
          <w:p w:rsidR="00CD292D" w:rsidRDefault="00CD292D">
            <w:r>
              <w:t>PN-EN 13880-2</w:t>
            </w:r>
          </w:p>
        </w:tc>
        <w:tc>
          <w:tcPr>
            <w:tcW w:w="7360" w:type="dxa"/>
            <w:tcMar>
              <w:top w:w="0" w:type="dxa"/>
              <w:left w:w="108" w:type="dxa"/>
              <w:bottom w:w="0" w:type="dxa"/>
              <w:right w:w="108" w:type="dxa"/>
            </w:tcMar>
            <w:hideMark/>
          </w:tcPr>
          <w:p w:rsidR="00CD292D" w:rsidRDefault="00CD292D">
            <w:r>
              <w:t>Zalewy szczelin na gorąco -- Część 2: Metoda badania dla określenia penetracji stożka w temperaturze 25 C</w:t>
            </w:r>
          </w:p>
        </w:tc>
      </w:tr>
      <w:tr w:rsidR="00CD292D" w:rsidTr="00CD292D">
        <w:tc>
          <w:tcPr>
            <w:tcW w:w="708" w:type="dxa"/>
            <w:tcMar>
              <w:top w:w="0" w:type="dxa"/>
              <w:left w:w="108" w:type="dxa"/>
              <w:bottom w:w="0" w:type="dxa"/>
              <w:right w:w="108" w:type="dxa"/>
            </w:tcMar>
            <w:hideMark/>
          </w:tcPr>
          <w:p w:rsidR="00CD292D" w:rsidRDefault="00CD292D">
            <w:pPr>
              <w:jc w:val="center"/>
            </w:pPr>
            <w:r>
              <w:t>70.</w:t>
            </w:r>
          </w:p>
        </w:tc>
        <w:tc>
          <w:tcPr>
            <w:tcW w:w="2280" w:type="dxa"/>
            <w:tcMar>
              <w:top w:w="0" w:type="dxa"/>
              <w:left w:w="108" w:type="dxa"/>
              <w:bottom w:w="0" w:type="dxa"/>
              <w:right w:w="108" w:type="dxa"/>
            </w:tcMar>
            <w:hideMark/>
          </w:tcPr>
          <w:p w:rsidR="00CD292D" w:rsidRDefault="00CD292D">
            <w:r>
              <w:t>PN-EN 13880-3</w:t>
            </w:r>
          </w:p>
        </w:tc>
        <w:tc>
          <w:tcPr>
            <w:tcW w:w="7360" w:type="dxa"/>
            <w:tcMar>
              <w:top w:w="0" w:type="dxa"/>
              <w:left w:w="108" w:type="dxa"/>
              <w:bottom w:w="0" w:type="dxa"/>
              <w:right w:w="108" w:type="dxa"/>
            </w:tcMar>
            <w:hideMark/>
          </w:tcPr>
          <w:p w:rsidR="00CD292D" w:rsidRDefault="00CD292D">
            <w:r>
              <w:t>Zalewy szczelin na gorąco -- Część 3: Metoda badania określająca penetrację i odprężenie sprężyste (odbojność)</w:t>
            </w:r>
          </w:p>
        </w:tc>
      </w:tr>
      <w:tr w:rsidR="00CD292D" w:rsidTr="00CD292D">
        <w:tc>
          <w:tcPr>
            <w:tcW w:w="708" w:type="dxa"/>
            <w:tcMar>
              <w:top w:w="0" w:type="dxa"/>
              <w:left w:w="108" w:type="dxa"/>
              <w:bottom w:w="0" w:type="dxa"/>
              <w:right w:w="108" w:type="dxa"/>
            </w:tcMar>
            <w:hideMark/>
          </w:tcPr>
          <w:p w:rsidR="00CD292D" w:rsidRDefault="00CD292D">
            <w:pPr>
              <w:jc w:val="center"/>
            </w:pPr>
            <w:r>
              <w:t>71.</w:t>
            </w:r>
          </w:p>
        </w:tc>
        <w:tc>
          <w:tcPr>
            <w:tcW w:w="2280" w:type="dxa"/>
            <w:tcMar>
              <w:top w:w="0" w:type="dxa"/>
              <w:left w:w="108" w:type="dxa"/>
              <w:bottom w:w="0" w:type="dxa"/>
              <w:right w:w="108" w:type="dxa"/>
            </w:tcMar>
            <w:hideMark/>
          </w:tcPr>
          <w:p w:rsidR="00CD292D" w:rsidRDefault="00CD292D">
            <w:r>
              <w:t>PN-EN 13880-5</w:t>
            </w:r>
          </w:p>
        </w:tc>
        <w:tc>
          <w:tcPr>
            <w:tcW w:w="7360" w:type="dxa"/>
            <w:tcMar>
              <w:top w:w="0" w:type="dxa"/>
              <w:left w:w="108" w:type="dxa"/>
              <w:bottom w:w="0" w:type="dxa"/>
              <w:right w:w="108" w:type="dxa"/>
            </w:tcMar>
            <w:hideMark/>
          </w:tcPr>
          <w:p w:rsidR="00CD292D" w:rsidRDefault="00CD292D">
            <w:r>
              <w:t>Zalewy szczelin na gorąco -- Część 5: Metody badań do oznaczania odporności na spływanie</w:t>
            </w:r>
          </w:p>
        </w:tc>
      </w:tr>
      <w:tr w:rsidR="00CD292D" w:rsidTr="00CD292D">
        <w:tc>
          <w:tcPr>
            <w:tcW w:w="708" w:type="dxa"/>
            <w:tcMar>
              <w:top w:w="0" w:type="dxa"/>
              <w:left w:w="108" w:type="dxa"/>
              <w:bottom w:w="0" w:type="dxa"/>
              <w:right w:w="108" w:type="dxa"/>
            </w:tcMar>
            <w:hideMark/>
          </w:tcPr>
          <w:p w:rsidR="00CD292D" w:rsidRDefault="00CD292D">
            <w:pPr>
              <w:jc w:val="center"/>
            </w:pPr>
            <w:r>
              <w:t>72.</w:t>
            </w:r>
          </w:p>
        </w:tc>
        <w:tc>
          <w:tcPr>
            <w:tcW w:w="2280" w:type="dxa"/>
            <w:tcMar>
              <w:top w:w="0" w:type="dxa"/>
              <w:left w:w="108" w:type="dxa"/>
              <w:bottom w:w="0" w:type="dxa"/>
              <w:right w:w="108" w:type="dxa"/>
            </w:tcMar>
            <w:hideMark/>
          </w:tcPr>
          <w:p w:rsidR="00CD292D" w:rsidRDefault="00CD292D">
            <w:r>
              <w:t>PN-EN 13880-6</w:t>
            </w:r>
          </w:p>
        </w:tc>
        <w:tc>
          <w:tcPr>
            <w:tcW w:w="7360" w:type="dxa"/>
            <w:tcMar>
              <w:top w:w="0" w:type="dxa"/>
              <w:left w:w="108" w:type="dxa"/>
              <w:bottom w:w="0" w:type="dxa"/>
              <w:right w:w="108" w:type="dxa"/>
            </w:tcMar>
            <w:hideMark/>
          </w:tcPr>
          <w:p w:rsidR="00CD292D" w:rsidRDefault="00CD292D">
            <w:r>
              <w:t>Zalewy szczelin na gorąco -- Część 6: Metoda przygotowania próbek do badania</w:t>
            </w:r>
          </w:p>
        </w:tc>
      </w:tr>
      <w:tr w:rsidR="00CD292D" w:rsidTr="00CD292D">
        <w:tc>
          <w:tcPr>
            <w:tcW w:w="708" w:type="dxa"/>
            <w:tcMar>
              <w:top w:w="0" w:type="dxa"/>
              <w:left w:w="108" w:type="dxa"/>
              <w:bottom w:w="0" w:type="dxa"/>
              <w:right w:w="108" w:type="dxa"/>
            </w:tcMar>
            <w:hideMark/>
          </w:tcPr>
          <w:p w:rsidR="00CD292D" w:rsidRDefault="00CD292D">
            <w:pPr>
              <w:jc w:val="center"/>
            </w:pPr>
            <w:r>
              <w:t>73.</w:t>
            </w:r>
          </w:p>
        </w:tc>
        <w:tc>
          <w:tcPr>
            <w:tcW w:w="2280" w:type="dxa"/>
            <w:tcMar>
              <w:top w:w="0" w:type="dxa"/>
              <w:left w:w="108" w:type="dxa"/>
              <w:bottom w:w="0" w:type="dxa"/>
              <w:right w:w="108" w:type="dxa"/>
            </w:tcMar>
            <w:hideMark/>
          </w:tcPr>
          <w:p w:rsidR="00CD292D" w:rsidRDefault="00CD292D">
            <w:r>
              <w:t>PN-EN 13880-13</w:t>
            </w:r>
          </w:p>
        </w:tc>
        <w:tc>
          <w:tcPr>
            <w:tcW w:w="7360" w:type="dxa"/>
            <w:tcMar>
              <w:top w:w="0" w:type="dxa"/>
              <w:left w:w="108" w:type="dxa"/>
              <w:bottom w:w="0" w:type="dxa"/>
              <w:right w:w="108" w:type="dxa"/>
            </w:tcMar>
            <w:hideMark/>
          </w:tcPr>
          <w:p w:rsidR="00CD292D" w:rsidRDefault="00CD292D">
            <w:r>
              <w:t>Zalewy szczelin na gorąco -- Część 13: Metoda badania służąca do określenia wydłużenia nieciągłego (próba przyczepności)</w:t>
            </w:r>
          </w:p>
        </w:tc>
      </w:tr>
      <w:tr w:rsidR="00CD292D" w:rsidTr="00CD292D">
        <w:trPr>
          <w:trHeight w:val="555"/>
        </w:trPr>
        <w:tc>
          <w:tcPr>
            <w:tcW w:w="708" w:type="dxa"/>
            <w:tcMar>
              <w:top w:w="0" w:type="dxa"/>
              <w:left w:w="108" w:type="dxa"/>
              <w:bottom w:w="0" w:type="dxa"/>
              <w:right w:w="108" w:type="dxa"/>
            </w:tcMar>
            <w:hideMark/>
          </w:tcPr>
          <w:p w:rsidR="00CD292D" w:rsidRDefault="00CD292D">
            <w:pPr>
              <w:jc w:val="center"/>
            </w:pPr>
            <w:r>
              <w:t>74.</w:t>
            </w:r>
          </w:p>
        </w:tc>
        <w:tc>
          <w:tcPr>
            <w:tcW w:w="2280" w:type="dxa"/>
            <w:tcMar>
              <w:top w:w="0" w:type="dxa"/>
              <w:left w:w="108" w:type="dxa"/>
              <w:bottom w:w="0" w:type="dxa"/>
              <w:right w:w="108" w:type="dxa"/>
            </w:tcMar>
            <w:hideMark/>
          </w:tcPr>
          <w:p w:rsidR="00CD292D" w:rsidRDefault="00CD292D">
            <w:r>
              <w:t>DIN 52123</w:t>
            </w:r>
          </w:p>
        </w:tc>
        <w:tc>
          <w:tcPr>
            <w:tcW w:w="7360" w:type="dxa"/>
            <w:tcMar>
              <w:top w:w="0" w:type="dxa"/>
              <w:left w:w="108" w:type="dxa"/>
              <w:bottom w:w="0" w:type="dxa"/>
              <w:right w:w="108" w:type="dxa"/>
            </w:tcMar>
            <w:hideMark/>
          </w:tcPr>
          <w:p w:rsidR="00CD292D" w:rsidRDefault="00CD292D">
            <w:pPr>
              <w:pStyle w:val="Nagwek2"/>
              <w:spacing w:before="0" w:after="0"/>
              <w:rPr>
                <w:rFonts w:eastAsia="Times New Roman"/>
              </w:rPr>
            </w:pPr>
            <w:r>
              <w:rPr>
                <w:rStyle w:val="value"/>
                <w:rFonts w:eastAsia="Times New Roman"/>
                <w:b w:val="0"/>
                <w:bCs/>
              </w:rPr>
              <w:t>Prüfung von Bitumen- und Polymerbitumenbahnen (Badanie taśm bitumicznych i polimerowo-bitumicznych)</w:t>
            </w:r>
          </w:p>
        </w:tc>
      </w:tr>
      <w:tr w:rsidR="00CD292D" w:rsidTr="00CD292D">
        <w:tc>
          <w:tcPr>
            <w:tcW w:w="708" w:type="dxa"/>
            <w:tcMar>
              <w:top w:w="0" w:type="dxa"/>
              <w:left w:w="108" w:type="dxa"/>
              <w:bottom w:w="0" w:type="dxa"/>
              <w:right w:w="108" w:type="dxa"/>
            </w:tcMar>
            <w:hideMark/>
          </w:tcPr>
          <w:p w:rsidR="00CD292D" w:rsidRDefault="00CD292D">
            <w:pPr>
              <w:jc w:val="center"/>
              <w:rPr>
                <w:rFonts w:eastAsiaTheme="minorEastAsia"/>
              </w:rPr>
            </w:pPr>
            <w:r>
              <w:t>75.</w:t>
            </w:r>
          </w:p>
        </w:tc>
        <w:tc>
          <w:tcPr>
            <w:tcW w:w="2280" w:type="dxa"/>
            <w:tcMar>
              <w:top w:w="0" w:type="dxa"/>
              <w:left w:w="108" w:type="dxa"/>
              <w:bottom w:w="0" w:type="dxa"/>
              <w:right w:w="108" w:type="dxa"/>
            </w:tcMar>
            <w:hideMark/>
          </w:tcPr>
          <w:p w:rsidR="00CD292D" w:rsidRDefault="00CD292D">
            <w:r>
              <w:t>PN-EN 1425</w:t>
            </w:r>
          </w:p>
        </w:tc>
        <w:tc>
          <w:tcPr>
            <w:tcW w:w="7360" w:type="dxa"/>
            <w:tcMar>
              <w:top w:w="0" w:type="dxa"/>
              <w:left w:w="108" w:type="dxa"/>
              <w:bottom w:w="0" w:type="dxa"/>
              <w:right w:w="108" w:type="dxa"/>
            </w:tcMar>
            <w:hideMark/>
          </w:tcPr>
          <w:p w:rsidR="00CD292D" w:rsidRDefault="00CD292D">
            <w:pPr>
              <w:pStyle w:val="Nagwek2"/>
              <w:spacing w:before="0" w:after="0"/>
              <w:rPr>
                <w:rFonts w:eastAsia="Times New Roman"/>
              </w:rPr>
            </w:pPr>
            <w:r>
              <w:rPr>
                <w:rFonts w:eastAsia="Times New Roman"/>
                <w:b w:val="0"/>
                <w:bCs/>
              </w:rPr>
              <w:t>Asfalty i lepiszcza asfaltowe -- Ocena organoleptyczna</w:t>
            </w:r>
          </w:p>
        </w:tc>
      </w:tr>
      <w:tr w:rsidR="00CD292D" w:rsidTr="00CD292D">
        <w:tc>
          <w:tcPr>
            <w:tcW w:w="708" w:type="dxa"/>
            <w:tcMar>
              <w:top w:w="0" w:type="dxa"/>
              <w:left w:w="108" w:type="dxa"/>
              <w:bottom w:w="0" w:type="dxa"/>
              <w:right w:w="108" w:type="dxa"/>
            </w:tcMar>
            <w:hideMark/>
          </w:tcPr>
          <w:p w:rsidR="00CD292D" w:rsidRDefault="00CD292D">
            <w:pPr>
              <w:jc w:val="center"/>
              <w:rPr>
                <w:rFonts w:eastAsiaTheme="minorEastAsia"/>
              </w:rPr>
            </w:pPr>
            <w:r>
              <w:t>76.</w:t>
            </w:r>
          </w:p>
        </w:tc>
        <w:tc>
          <w:tcPr>
            <w:tcW w:w="2280" w:type="dxa"/>
            <w:tcMar>
              <w:top w:w="0" w:type="dxa"/>
              <w:left w:w="108" w:type="dxa"/>
              <w:bottom w:w="0" w:type="dxa"/>
              <w:right w:w="108" w:type="dxa"/>
            </w:tcMar>
            <w:hideMark/>
          </w:tcPr>
          <w:p w:rsidR="00CD292D" w:rsidRDefault="00CD292D">
            <w:r>
              <w:t>PN-EN 1428</w:t>
            </w:r>
          </w:p>
        </w:tc>
        <w:tc>
          <w:tcPr>
            <w:tcW w:w="7360" w:type="dxa"/>
            <w:tcMar>
              <w:top w:w="0" w:type="dxa"/>
              <w:left w:w="108" w:type="dxa"/>
              <w:bottom w:w="0" w:type="dxa"/>
              <w:right w:w="108" w:type="dxa"/>
            </w:tcMar>
            <w:hideMark/>
          </w:tcPr>
          <w:p w:rsidR="00CD292D" w:rsidRDefault="00CD292D">
            <w:r>
              <w:t>Asfalty i lepiszcza asfaltowe -- Oznaczanie zawartości wody w emulsjach asfaltowych -- Metoda destylacji azeotropowej</w:t>
            </w:r>
          </w:p>
        </w:tc>
      </w:tr>
      <w:tr w:rsidR="00CD292D" w:rsidTr="00CD292D">
        <w:tc>
          <w:tcPr>
            <w:tcW w:w="708" w:type="dxa"/>
            <w:tcMar>
              <w:top w:w="0" w:type="dxa"/>
              <w:left w:w="108" w:type="dxa"/>
              <w:bottom w:w="0" w:type="dxa"/>
              <w:right w:w="108" w:type="dxa"/>
            </w:tcMar>
            <w:hideMark/>
          </w:tcPr>
          <w:p w:rsidR="00CD292D" w:rsidRDefault="00CD292D">
            <w:pPr>
              <w:jc w:val="center"/>
            </w:pPr>
            <w:r>
              <w:t xml:space="preserve">77. </w:t>
            </w:r>
          </w:p>
        </w:tc>
        <w:tc>
          <w:tcPr>
            <w:tcW w:w="2280" w:type="dxa"/>
            <w:tcMar>
              <w:top w:w="0" w:type="dxa"/>
              <w:left w:w="108" w:type="dxa"/>
              <w:bottom w:w="0" w:type="dxa"/>
              <w:right w:w="108" w:type="dxa"/>
            </w:tcMar>
            <w:hideMark/>
          </w:tcPr>
          <w:p w:rsidR="00CD292D" w:rsidRDefault="00CD292D">
            <w:r>
              <w:t>PN-EN 13074-1</w:t>
            </w:r>
          </w:p>
        </w:tc>
        <w:tc>
          <w:tcPr>
            <w:tcW w:w="7360" w:type="dxa"/>
            <w:tcMar>
              <w:top w:w="0" w:type="dxa"/>
              <w:left w:w="108" w:type="dxa"/>
              <w:bottom w:w="0" w:type="dxa"/>
              <w:right w:w="108" w:type="dxa"/>
            </w:tcMar>
            <w:hideMark/>
          </w:tcPr>
          <w:p w:rsidR="00CD292D" w:rsidRDefault="00CD292D">
            <w:r>
              <w:t>Asfalty i lepiszcza asfaltowe -- Odzyskiwanie lepiszcza z emulsji asfaltowych lub asfaltów upłynnionych lub fluksowanych -- Część 1: Odzyskiwanie metodą odparowania</w:t>
            </w:r>
          </w:p>
        </w:tc>
      </w:tr>
      <w:tr w:rsidR="00CD292D" w:rsidTr="00CD292D">
        <w:tc>
          <w:tcPr>
            <w:tcW w:w="708" w:type="dxa"/>
            <w:tcMar>
              <w:top w:w="0" w:type="dxa"/>
              <w:left w:w="108" w:type="dxa"/>
              <w:bottom w:w="0" w:type="dxa"/>
              <w:right w:w="108" w:type="dxa"/>
            </w:tcMar>
            <w:hideMark/>
          </w:tcPr>
          <w:p w:rsidR="00CD292D" w:rsidRDefault="00CD292D">
            <w:pPr>
              <w:jc w:val="center"/>
            </w:pPr>
            <w:r>
              <w:lastRenderedPageBreak/>
              <w:t>78.</w:t>
            </w:r>
          </w:p>
        </w:tc>
        <w:tc>
          <w:tcPr>
            <w:tcW w:w="2280" w:type="dxa"/>
            <w:tcMar>
              <w:top w:w="0" w:type="dxa"/>
              <w:left w:w="108" w:type="dxa"/>
              <w:bottom w:w="0" w:type="dxa"/>
              <w:right w:w="108" w:type="dxa"/>
            </w:tcMar>
            <w:hideMark/>
          </w:tcPr>
          <w:p w:rsidR="00CD292D" w:rsidRDefault="00CD292D">
            <w:r>
              <w:t>PN-EN 13074-2</w:t>
            </w:r>
          </w:p>
        </w:tc>
        <w:tc>
          <w:tcPr>
            <w:tcW w:w="7360" w:type="dxa"/>
            <w:tcMar>
              <w:top w:w="0" w:type="dxa"/>
              <w:left w:w="108" w:type="dxa"/>
              <w:bottom w:w="0" w:type="dxa"/>
              <w:right w:w="108" w:type="dxa"/>
            </w:tcMar>
            <w:hideMark/>
          </w:tcPr>
          <w:p w:rsidR="00CD292D" w:rsidRDefault="00CD292D">
            <w:r>
              <w:t>Asfalty i lepiszcza asfaltowe -- Odzyskiwanie lepiszcza z emulsji asfaltowych lub asfaltów upłynnionych lub fluksowanych -- Część 2: Stabilizacja po odzyskaniu metodą odparowania</w:t>
            </w:r>
          </w:p>
        </w:tc>
      </w:tr>
    </w:tbl>
    <w:p w:rsidR="00CD292D" w:rsidRDefault="00CD292D" w:rsidP="00CD292D">
      <w:pPr>
        <w:pStyle w:val="Nagwek2"/>
        <w:rPr>
          <w:rFonts w:eastAsia="Times New Roman"/>
        </w:rPr>
      </w:pPr>
      <w:r>
        <w:rPr>
          <w:rFonts w:eastAsia="Times New Roman"/>
        </w:rPr>
        <w:t>10.3. Wymagania techniczne i katalogi</w:t>
      </w:r>
    </w:p>
    <w:p w:rsidR="00CD292D" w:rsidRDefault="00CD292D" w:rsidP="00B4292E">
      <w:pPr>
        <w:pStyle w:val="Akapitzlist"/>
        <w:numPr>
          <w:ilvl w:val="0"/>
          <w:numId w:val="19"/>
        </w:numPr>
        <w:ind w:left="567"/>
      </w:pPr>
      <w: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CD292D" w:rsidRDefault="00CD292D" w:rsidP="00B4292E">
      <w:pPr>
        <w:pStyle w:val="Akapitzlist"/>
        <w:numPr>
          <w:ilvl w:val="0"/>
          <w:numId w:val="19"/>
        </w:numPr>
        <w:ind w:left="567"/>
      </w:pPr>
      <w: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CD292D" w:rsidRDefault="00CD292D" w:rsidP="00B4292E">
      <w:pPr>
        <w:pStyle w:val="Akapitzlist"/>
        <w:numPr>
          <w:ilvl w:val="0"/>
          <w:numId w:val="19"/>
        </w:numPr>
        <w:ind w:left="567"/>
      </w:pPr>
      <w: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CD292D" w:rsidRDefault="00CD292D" w:rsidP="00B4292E">
      <w:pPr>
        <w:pStyle w:val="Akapitzlist"/>
        <w:numPr>
          <w:ilvl w:val="0"/>
          <w:numId w:val="19"/>
        </w:numPr>
        <w:ind w:left="567"/>
      </w:pPr>
      <w:r>
        <w:t>Katalog typowych konstrukcji nawierzchni podatnych i półsztywnych. Załącznik do Zarządzenia nr 31 Generalnego Dyrektora Dróg Krajowych i Autostrad z dnia 16 czerwca 2014 r.</w:t>
      </w:r>
    </w:p>
    <w:p w:rsidR="00CD292D" w:rsidRDefault="00CD292D" w:rsidP="00CD292D">
      <w:pPr>
        <w:pStyle w:val="Nagwek2"/>
        <w:rPr>
          <w:rFonts w:eastAsia="Times New Roman"/>
        </w:rPr>
      </w:pPr>
      <w:r>
        <w:rPr>
          <w:rFonts w:eastAsia="Times New Roman"/>
          <w:sz w:val="22"/>
          <w:szCs w:val="22"/>
        </w:rPr>
        <w:t>10.4. Inne dokumenty</w:t>
      </w:r>
    </w:p>
    <w:p w:rsidR="00CD292D" w:rsidRDefault="00CD292D" w:rsidP="00B4292E">
      <w:pPr>
        <w:pStyle w:val="Akapitzlist"/>
        <w:numPr>
          <w:ilvl w:val="0"/>
          <w:numId w:val="19"/>
        </w:numPr>
        <w:ind w:left="567"/>
      </w:pPr>
      <w:r>
        <w:t>Rozporządzenie Ministra Transportu i Gospodarki Morskiej z dnia 2 marca 1999 r. w sprawie warunków technicznych, jakim powinny odpowiadać drogi publiczne i ich usytuowanie (jednolity tekst Dz.U. z 2016, poz. 124)</w:t>
      </w:r>
    </w:p>
    <w:p w:rsidR="00CD292D" w:rsidRDefault="00CD292D" w:rsidP="00B4292E">
      <w:pPr>
        <w:pStyle w:val="Akapitzlist"/>
        <w:numPr>
          <w:ilvl w:val="0"/>
          <w:numId w:val="19"/>
        </w:numPr>
        <w:ind w:left="567"/>
        <w:rPr>
          <w:sz w:val="22"/>
          <w:szCs w:val="22"/>
        </w:rPr>
      </w:pPr>
      <w:r>
        <w:t>Ustawa z</w:t>
      </w:r>
      <w:r>
        <w:rPr>
          <w:sz w:val="22"/>
          <w:szCs w:val="22"/>
        </w:rPr>
        <w:t xml:space="preserve"> dnia 19 sierpnia 2011 r. o przewozie drogowym towarów niebezpiecznych (Dz.U. nr 227, poz. 1367 z późn. zm.) </w:t>
      </w:r>
    </w:p>
    <w:p w:rsidR="00CD292D" w:rsidRDefault="00CD292D"/>
    <w:p w:rsidR="00CD292D" w:rsidRDefault="00FD6D1A" w:rsidP="003E5210">
      <w:r>
        <w:rPr>
          <w:b/>
          <w:bCs/>
          <w:sz w:val="28"/>
          <w:szCs w:val="28"/>
        </w:rPr>
        <w:t>VI</w:t>
      </w:r>
      <w:r w:rsidR="003E5210">
        <w:rPr>
          <w:b/>
          <w:bCs/>
          <w:sz w:val="28"/>
          <w:szCs w:val="28"/>
        </w:rPr>
        <w:t xml:space="preserve">- </w:t>
      </w:r>
      <w:r w:rsidR="00CD292D">
        <w:rPr>
          <w:b/>
          <w:bCs/>
          <w:sz w:val="28"/>
          <w:szCs w:val="28"/>
        </w:rPr>
        <w:t>D – 05.03.05b NAWIERZCHNIA  Z  BETONU ASFALTOWEGO.</w:t>
      </w:r>
    </w:p>
    <w:p w:rsidR="00CD292D" w:rsidRDefault="00CD292D" w:rsidP="00CD292D">
      <w:pPr>
        <w:jc w:val="center"/>
      </w:pPr>
      <w:r>
        <w:rPr>
          <w:b/>
          <w:bCs/>
          <w:sz w:val="28"/>
          <w:szCs w:val="28"/>
        </w:rPr>
        <w:t>WARSTWA WIĄŻĄCA i WYRÓWNAWCZA</w:t>
      </w:r>
    </w:p>
    <w:p w:rsidR="00CD292D" w:rsidRDefault="00CD292D" w:rsidP="00CD292D">
      <w:pPr>
        <w:jc w:val="center"/>
      </w:pPr>
      <w:r>
        <w:rPr>
          <w:b/>
          <w:bCs/>
          <w:sz w:val="28"/>
          <w:szCs w:val="28"/>
        </w:rPr>
        <w:t>wg WT-1 i WT-2</w:t>
      </w:r>
    </w:p>
    <w:p w:rsidR="00CD292D" w:rsidRDefault="00CD292D" w:rsidP="00CD292D">
      <w:pPr>
        <w:jc w:val="center"/>
      </w:pPr>
      <w:r>
        <w:rPr>
          <w:b/>
          <w:bCs/>
          <w:sz w:val="28"/>
          <w:szCs w:val="28"/>
        </w:rPr>
        <w:t> </w:t>
      </w:r>
    </w:p>
    <w:p w:rsidR="00CD292D" w:rsidRDefault="00CD292D" w:rsidP="00CD292D">
      <w:pPr>
        <w:spacing w:after="120"/>
        <w:jc w:val="center"/>
      </w:pPr>
    </w:p>
    <w:p w:rsidR="00CD292D" w:rsidRDefault="00CD292D" w:rsidP="003E5210">
      <w:pPr>
        <w:jc w:val="center"/>
      </w:pPr>
      <w:r>
        <w:rPr>
          <w:rFonts w:eastAsia="Times New Roman"/>
          <w:b/>
          <w:bCs/>
          <w:sz w:val="28"/>
          <w:szCs w:val="28"/>
        </w:rPr>
        <w:br w:type="page"/>
      </w:r>
      <w:r w:rsidR="003E5210">
        <w:lastRenderedPageBreak/>
        <w:t xml:space="preserve"> </w:t>
      </w:r>
    </w:p>
    <w:p w:rsidR="00CD292D" w:rsidRDefault="00CD292D" w:rsidP="00CD292D">
      <w:pPr>
        <w:pStyle w:val="Nagwek1"/>
        <w:rPr>
          <w:rFonts w:eastAsia="Times New Roman"/>
        </w:rPr>
      </w:pPr>
      <w:bookmarkStart w:id="525" w:name="_Toc412707318"/>
      <w:bookmarkEnd w:id="525"/>
      <w:r>
        <w:rPr>
          <w:rFonts w:eastAsia="Times New Roman"/>
        </w:rPr>
        <w:t>1. Wstęp</w:t>
      </w:r>
    </w:p>
    <w:p w:rsidR="00CD292D" w:rsidRDefault="00CD292D" w:rsidP="00CD292D">
      <w:pPr>
        <w:pStyle w:val="Nagwek2"/>
        <w:rPr>
          <w:rFonts w:eastAsia="Times New Roman"/>
        </w:rPr>
      </w:pPr>
      <w:r>
        <w:rPr>
          <w:rFonts w:eastAsia="Times New Roman"/>
        </w:rPr>
        <w:t>1.1. Przedmiot OST</w:t>
      </w:r>
    </w:p>
    <w:p w:rsidR="00CD292D" w:rsidRDefault="00CD292D" w:rsidP="00CD292D">
      <w:pPr>
        <w:pStyle w:val="Standardowytekst"/>
        <w:rPr>
          <w:rFonts w:eastAsiaTheme="minorEastAsia"/>
        </w:rPr>
      </w:pPr>
      <w:r>
        <w:rPr>
          <w:sz w:val="24"/>
          <w:szCs w:val="24"/>
        </w:rPr>
        <w:t>            Przedmiotem niniejszej ogólnej specyfikacji technicznej (OST) są wymagania dotyczące wykonania i odbioru robót związanych z wykonaniem warstwy wiążącej i wyrównawczej z betonu asfaltowego.</w:t>
      </w:r>
    </w:p>
    <w:p w:rsidR="00CD292D" w:rsidRDefault="00CD292D" w:rsidP="00CD292D">
      <w:pPr>
        <w:pStyle w:val="Nagwek2"/>
        <w:rPr>
          <w:rFonts w:eastAsia="Times New Roman"/>
        </w:rPr>
      </w:pPr>
      <w:r>
        <w:rPr>
          <w:rFonts w:eastAsia="Times New Roman"/>
        </w:rPr>
        <w:t>1.2. Zakres stosowania OST</w:t>
      </w:r>
    </w:p>
    <w:p w:rsidR="00CD292D" w:rsidRDefault="00CD292D" w:rsidP="00CD292D">
      <w:pPr>
        <w:pStyle w:val="Standardowytekst"/>
        <w:rPr>
          <w:rFonts w:eastAsiaTheme="minorEastAsia"/>
        </w:rPr>
      </w:pPr>
      <w:r>
        <w:rPr>
          <w:sz w:val="24"/>
          <w:szCs w:val="24"/>
        </w:rPr>
        <w:t>            Ogólna specyfikacja techniczna (OST) jest materiałem pomocniczym do  opracowania specyfikacji technicznej wykonania i odbioru robót budowlanych (ST) stosowanej jako dokument przetargowy i kontraktowy przy zlecaniu i realizacji robót na drogach i ulicach.</w:t>
      </w:r>
    </w:p>
    <w:p w:rsidR="00CD292D" w:rsidRDefault="00CD292D" w:rsidP="00CD292D">
      <w:pPr>
        <w:pStyle w:val="Nagwek2"/>
        <w:rPr>
          <w:rFonts w:eastAsia="Times New Roman"/>
        </w:rPr>
      </w:pPr>
      <w:r>
        <w:rPr>
          <w:rFonts w:eastAsia="Times New Roman"/>
        </w:rPr>
        <w:t>1.3. Zakres robót objętych OST</w:t>
      </w:r>
    </w:p>
    <w:p w:rsidR="00CD292D" w:rsidRDefault="00CD292D" w:rsidP="00CD292D">
      <w:pPr>
        <w:rPr>
          <w:rFonts w:eastAsiaTheme="minorEastAsia"/>
        </w:rPr>
      </w:pPr>
      <w:r>
        <w:t>            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rsidR="00CD292D" w:rsidRDefault="00CD292D" w:rsidP="00CD292D">
      <w:r>
        <w:t>            Warstwę wiążącą i wyrównawczą z betonu asfaltowego można wykonywać dla dróg kategorii ruchu od KR1 do KR7 (określenie kategorii ruchu podano w punkcie 1.4.8). Stosowane mieszanki  betonu asfaltowego o wymiarze D (patrz pkt 1.4.5.) podano w tablicy 1.</w:t>
      </w:r>
    </w:p>
    <w:p w:rsidR="00CD292D" w:rsidRDefault="00CD292D" w:rsidP="00CD292D">
      <w:pPr>
        <w:spacing w:before="60" w:after="60"/>
      </w:pPr>
      <w:r>
        <w:t xml:space="preserve">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D292D" w:rsidTr="00CD292D">
        <w:trPr>
          <w:trHeight w:val="71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jc w:val="center"/>
            </w:pPr>
            <w:r>
              <w:t>Kategoria</w:t>
            </w:r>
          </w:p>
          <w:p w:rsidR="00CD292D" w:rsidRDefault="00CD292D">
            <w:pPr>
              <w:spacing w:after="60"/>
              <w:jc w:val="center"/>
            </w:pPr>
            <w: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Mieszanki  o wymiarze D</w:t>
            </w:r>
            <w:r>
              <w:rPr>
                <w:vertAlign w:val="superscript"/>
              </w:rPr>
              <w:t>1)</w:t>
            </w:r>
            <w:r>
              <w:t>,  mm</w:t>
            </w:r>
          </w:p>
        </w:tc>
      </w:tr>
      <w:tr w:rsidR="00CD292D" w:rsidTr="00CD292D">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KR 1-2</w:t>
            </w:r>
          </w:p>
          <w:p w:rsidR="00CD292D" w:rsidRDefault="00CD292D">
            <w:pPr>
              <w:spacing w:before="60" w:after="60"/>
              <w:jc w:val="center"/>
            </w:pPr>
            <w:r>
              <w:t>KR 3-4</w:t>
            </w:r>
          </w:p>
          <w:p w:rsidR="00CD292D" w:rsidRDefault="00CD292D">
            <w:pPr>
              <w:spacing w:before="60" w:after="60"/>
              <w:jc w:val="center"/>
            </w:pPr>
            <w:r>
              <w:t>KR 5-7</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AC11W , AC16W</w:t>
            </w:r>
          </w:p>
          <w:p w:rsidR="00CD292D" w:rsidRDefault="00CD292D">
            <w:pPr>
              <w:spacing w:before="60" w:after="60"/>
              <w:jc w:val="center"/>
            </w:pPr>
            <w:r>
              <w:t>AC16W, AC22W</w:t>
            </w:r>
          </w:p>
          <w:p w:rsidR="00CD292D" w:rsidRDefault="00CD292D">
            <w:pPr>
              <w:spacing w:before="60" w:after="60"/>
              <w:jc w:val="center"/>
            </w:pPr>
            <w:r>
              <w:t>AC16W, AC22W</w:t>
            </w:r>
          </w:p>
        </w:tc>
      </w:tr>
    </w:tbl>
    <w:p w:rsidR="00CD292D" w:rsidRDefault="00CD292D" w:rsidP="00CD292D">
      <w:pPr>
        <w:ind w:left="142" w:hanging="142"/>
        <w:rPr>
          <w:rFonts w:eastAsiaTheme="minorEastAsia"/>
        </w:rPr>
      </w:pPr>
      <w:r>
        <w:rPr>
          <w:vertAlign w:val="superscript"/>
        </w:rPr>
        <w:t xml:space="preserve">1)             </w:t>
      </w:r>
      <w:r>
        <w:t>Podział ze względu na wymiar największego kruszywa w mieszance.</w:t>
      </w:r>
    </w:p>
    <w:p w:rsidR="00CD292D" w:rsidRDefault="00CD292D" w:rsidP="00CD292D">
      <w:pPr>
        <w:spacing w:before="120"/>
      </w:pPr>
      <w:r>
        <w:rPr>
          <w:b/>
          <w:bCs/>
        </w:rPr>
        <w:t>Uwaga:</w:t>
      </w:r>
      <w:r>
        <w:t xml:space="preserve"> niniejsza OST nie obejmuje wykonania warstw nawierzchni z betonu asfaltowego o wysokim module sztywności.  </w:t>
      </w:r>
    </w:p>
    <w:p w:rsidR="00CD292D" w:rsidRDefault="00CD292D" w:rsidP="00CD292D">
      <w:pPr>
        <w:pStyle w:val="Nagwek2"/>
        <w:rPr>
          <w:rFonts w:eastAsia="Times New Roman"/>
        </w:rPr>
      </w:pPr>
      <w:r>
        <w:rPr>
          <w:rFonts w:eastAsia="Times New Roman"/>
        </w:rPr>
        <w:t>1.4. Określenia podstawowe</w:t>
      </w:r>
    </w:p>
    <w:p w:rsidR="00CD292D" w:rsidRDefault="00CD292D" w:rsidP="00CD292D">
      <w:pPr>
        <w:pStyle w:val="StylIwony"/>
        <w:spacing w:before="0" w:after="0"/>
        <w:rPr>
          <w:rFonts w:eastAsiaTheme="minorEastAsia"/>
        </w:rPr>
      </w:pPr>
      <w:r>
        <w:rPr>
          <w:rFonts w:ascii="Times New Roman" w:hAnsi="Times New Roman"/>
          <w:b/>
          <w:bCs/>
        </w:rPr>
        <w:t xml:space="preserve">1.4.1. </w:t>
      </w:r>
      <w:r>
        <w:rPr>
          <w:rFonts w:ascii="Times New Roman" w:hAnsi="Times New Roman"/>
        </w:rPr>
        <w:t>Nawierzchnia – konstrukcja składająca się z jednej lub kilku warstw służących do przejmowania i rozkładania obciążeń od ruchu pojazdów na podłoże.</w:t>
      </w:r>
    </w:p>
    <w:p w:rsidR="00CD292D" w:rsidRDefault="00CD292D" w:rsidP="00CD292D">
      <w:pPr>
        <w:pStyle w:val="StylIwony"/>
        <w:spacing w:after="0"/>
      </w:pPr>
      <w:r>
        <w:rPr>
          <w:rFonts w:ascii="Times New Roman" w:hAnsi="Times New Roman"/>
          <w:b/>
          <w:bCs/>
        </w:rPr>
        <w:t xml:space="preserve">1.4.2. </w:t>
      </w:r>
      <w:r>
        <w:rPr>
          <w:rFonts w:ascii="Times New Roman" w:hAnsi="Times New Roman"/>
        </w:rPr>
        <w:t>Warstwa wiążąca – warstwa nawierzchni między warstwą ścieralną a podbudową.</w:t>
      </w:r>
    </w:p>
    <w:p w:rsidR="00CD292D" w:rsidRDefault="00CD292D" w:rsidP="00CD292D">
      <w:pPr>
        <w:pStyle w:val="StylIwony"/>
        <w:spacing w:after="0"/>
      </w:pPr>
      <w:r>
        <w:rPr>
          <w:rFonts w:ascii="Times New Roman" w:hAnsi="Times New Roman"/>
          <w:b/>
          <w:bCs/>
        </w:rPr>
        <w:t xml:space="preserve">1.4.3. </w:t>
      </w:r>
      <w:r>
        <w:rPr>
          <w:rFonts w:ascii="Times New Roman" w:hAnsi="Times New Roman"/>
        </w:rPr>
        <w:t>Warstwa wyrównawcza – warstwa o zmiennej grubości, ułożona na istniejącej warstwie w celu uzyskania odpowiedniego profilu potrzebnego do ułożenia kolejnej warstwy.</w:t>
      </w:r>
    </w:p>
    <w:p w:rsidR="00CD292D" w:rsidRDefault="00CD292D" w:rsidP="00CD292D">
      <w:pPr>
        <w:pStyle w:val="StylIwony"/>
        <w:spacing w:after="0"/>
      </w:pPr>
      <w:r>
        <w:rPr>
          <w:rFonts w:ascii="Times New Roman" w:hAnsi="Times New Roman"/>
          <w:b/>
          <w:bCs/>
        </w:rPr>
        <w:t xml:space="preserve">1.4.4. </w:t>
      </w:r>
      <w:r>
        <w:rPr>
          <w:rFonts w:ascii="Times New Roman" w:hAnsi="Times New Roman"/>
        </w:rPr>
        <w:t>Mieszanka mineralno-asfaltowa (MMA) – mieszanka kruszyw i lepiszcza asfaltowego.</w:t>
      </w:r>
    </w:p>
    <w:p w:rsidR="00CD292D" w:rsidRDefault="00CD292D" w:rsidP="00CD292D">
      <w:pPr>
        <w:pStyle w:val="StylIwony"/>
        <w:spacing w:after="0"/>
      </w:pPr>
      <w:r>
        <w:rPr>
          <w:rFonts w:ascii="Times New Roman" w:hAnsi="Times New Roman"/>
          <w:b/>
          <w:bCs/>
        </w:rPr>
        <w:t xml:space="preserve">1.4.5. </w:t>
      </w:r>
      <w:r>
        <w:rPr>
          <w:rFonts w:ascii="Times New Roman" w:hAnsi="Times New Roman"/>
        </w:rPr>
        <w:t>Wymiar mieszanki mineralno-asfaltowej – określenie mieszanki mineralno-asfaltowej, ze względu na największy wymiar kruszywa D, np. wymiar 11, 16, 22.</w:t>
      </w:r>
    </w:p>
    <w:p w:rsidR="00CD292D" w:rsidRDefault="00CD292D" w:rsidP="00CD292D">
      <w:pPr>
        <w:pStyle w:val="StylIwony"/>
        <w:spacing w:after="0"/>
      </w:pPr>
      <w:r>
        <w:rPr>
          <w:rFonts w:ascii="Times New Roman" w:hAnsi="Times New Roman"/>
          <w:b/>
          <w:bCs/>
        </w:rPr>
        <w:t xml:space="preserve">1.4.6. </w:t>
      </w:r>
      <w:r>
        <w:rPr>
          <w:rFonts w:ascii="Times New Roman" w:hAnsi="Times New Roman"/>
        </w:rPr>
        <w:t>Beton asfaltowy – mieszanka mineralno-asfaltowa, w której kruszywo o uziarnieniu ciągłym lub nieciągłym tworzy strukturę wzajemnie klinującą się.</w:t>
      </w:r>
    </w:p>
    <w:p w:rsidR="00CD292D" w:rsidRDefault="00CD292D" w:rsidP="00CD292D">
      <w:pPr>
        <w:pStyle w:val="StylIwony"/>
        <w:spacing w:after="0"/>
      </w:pPr>
      <w:r>
        <w:rPr>
          <w:rFonts w:ascii="Times New Roman" w:hAnsi="Times New Roman"/>
          <w:b/>
          <w:bCs/>
        </w:rPr>
        <w:lastRenderedPageBreak/>
        <w:t xml:space="preserve">1.4.7. </w:t>
      </w:r>
      <w:r>
        <w:rPr>
          <w:rFonts w:ascii="Times New Roman" w:hAnsi="Times New Roman"/>
        </w:rPr>
        <w:t>Uziarnienie – skład ziarnowy kruszywa, wyrażony w procentach masy ziaren przechodzących przez określony zestaw sit.</w:t>
      </w:r>
    </w:p>
    <w:p w:rsidR="00CD292D" w:rsidRDefault="00CD292D" w:rsidP="00CD292D">
      <w:pPr>
        <w:pStyle w:val="StylIwony"/>
        <w:spacing w:after="0"/>
      </w:pPr>
      <w:r>
        <w:rPr>
          <w:rFonts w:ascii="Times New Roman" w:hAnsi="Times New Roman"/>
          <w:b/>
          <w:bCs/>
        </w:rPr>
        <w:t xml:space="preserve">1.4.8. </w:t>
      </w:r>
      <w:r>
        <w:rPr>
          <w:rFonts w:ascii="Times New Roman" w:hAnsi="Times New Roman"/>
        </w:rPr>
        <w:t>Kategoria ruchu – obciążenie drogi ruchem samochodowym, wyrażone w osiach obliczeniowych (100 kN) wg „Katalogu typowych konstrukcji nawierzchni podatnych i półsztywnych” GDDKiA [84].</w:t>
      </w:r>
    </w:p>
    <w:p w:rsidR="00CD292D" w:rsidRDefault="00CD292D" w:rsidP="00CD292D">
      <w:pPr>
        <w:pStyle w:val="StylIwony"/>
        <w:spacing w:after="0"/>
      </w:pPr>
      <w:r>
        <w:rPr>
          <w:rFonts w:ascii="Times New Roman" w:hAnsi="Times New Roman"/>
          <w:b/>
          <w:bCs/>
        </w:rPr>
        <w:t xml:space="preserve">1.4.9. </w:t>
      </w:r>
      <w:r>
        <w:rPr>
          <w:rFonts w:ascii="Times New Roman" w:hAnsi="Times New Roman"/>
        </w:rPr>
        <w:t>Wymiar kruszywa – wielkość ziaren kruszywa, określona przez dolny (d) i górny (D) wymiar sita.</w:t>
      </w:r>
    </w:p>
    <w:p w:rsidR="00CD292D" w:rsidRDefault="00CD292D" w:rsidP="00CD292D">
      <w:pPr>
        <w:pStyle w:val="StylIwony"/>
        <w:spacing w:after="0"/>
      </w:pPr>
      <w:r>
        <w:rPr>
          <w:rFonts w:ascii="Times New Roman" w:hAnsi="Times New Roman"/>
          <w:b/>
          <w:bCs/>
        </w:rPr>
        <w:t xml:space="preserve">1.4.10. </w:t>
      </w:r>
      <w:r>
        <w:rPr>
          <w:rFonts w:ascii="Times New Roman" w:hAnsi="Times New Roman"/>
        </w:rPr>
        <w:t>Kruszywo grube – kruszywo z ziaren o wymiarze: D ≤ 45 mm oraz d &gt; 2 mm.</w:t>
      </w:r>
    </w:p>
    <w:p w:rsidR="00CD292D" w:rsidRDefault="00CD292D" w:rsidP="00CD292D">
      <w:pPr>
        <w:pStyle w:val="StylIwony"/>
        <w:spacing w:after="0"/>
      </w:pPr>
      <w:r>
        <w:rPr>
          <w:rFonts w:ascii="Times New Roman" w:hAnsi="Times New Roman"/>
          <w:b/>
          <w:bCs/>
        </w:rPr>
        <w:t xml:space="preserve">1.4.11. </w:t>
      </w:r>
      <w:r>
        <w:rPr>
          <w:rFonts w:ascii="Times New Roman" w:hAnsi="Times New Roman"/>
        </w:rPr>
        <w:t>Kruszywo drobne – kruszywo z ziaren o wymiarze: D ≤ 2 mm, którego większa część pozostaje na sicie 0,063 mm.</w:t>
      </w:r>
    </w:p>
    <w:p w:rsidR="00CD292D" w:rsidRDefault="00CD292D" w:rsidP="00CD292D">
      <w:pPr>
        <w:pStyle w:val="StylIwony"/>
        <w:spacing w:after="0"/>
      </w:pPr>
      <w:r>
        <w:rPr>
          <w:rFonts w:ascii="Times New Roman" w:hAnsi="Times New Roman"/>
          <w:b/>
          <w:bCs/>
        </w:rPr>
        <w:t xml:space="preserve">1.4.12. </w:t>
      </w:r>
      <w:r>
        <w:rPr>
          <w:rFonts w:ascii="Times New Roman" w:hAnsi="Times New Roman"/>
        </w:rPr>
        <w:t>Pył – kruszywo z ziaren przechodzących przez sito 0,063 mm.</w:t>
      </w:r>
    </w:p>
    <w:p w:rsidR="00CD292D" w:rsidRDefault="00CD292D" w:rsidP="00CD292D">
      <w:pPr>
        <w:pStyle w:val="StylIwony"/>
        <w:spacing w:after="0"/>
      </w:pPr>
      <w:r>
        <w:rPr>
          <w:rFonts w:ascii="Times New Roman" w:hAnsi="Times New Roman"/>
          <w:b/>
          <w:bCs/>
        </w:rPr>
        <w:t xml:space="preserve">1.4.13. </w:t>
      </w:r>
      <w:r>
        <w:rPr>
          <w:rFonts w:ascii="Times New Roman" w:hAnsi="Times New Roman"/>
        </w:rPr>
        <w:t>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rsidR="00CD292D" w:rsidRDefault="00CD292D" w:rsidP="00CD292D">
      <w:pPr>
        <w:pStyle w:val="StylIwony"/>
        <w:spacing w:after="0"/>
      </w:pPr>
      <w:r>
        <w:rPr>
          <w:rFonts w:ascii="Times New Roman" w:hAnsi="Times New Roman"/>
          <w:b/>
          <w:bCs/>
        </w:rPr>
        <w:t>1.4.14.</w:t>
      </w:r>
      <w:r>
        <w:rPr>
          <w:rFonts w:ascii="Times New Roman" w:hAnsi="Times New Roman"/>
        </w:rPr>
        <w:t xml:space="preserve"> Granulat asfaltowy – jest to przetworzony destrukt asfaltowy o udokumentowanej jakości jako materiał składowy w produkcji mieszanek mineralno-asfaltowych w technologii na gorąco.</w:t>
      </w:r>
    </w:p>
    <w:p w:rsidR="00CD292D" w:rsidRDefault="00CD292D" w:rsidP="00CD292D">
      <w:pPr>
        <w:pStyle w:val="StylIwony"/>
        <w:spacing w:after="0"/>
      </w:pPr>
      <w:r>
        <w:rPr>
          <w:rFonts w:ascii="Times New Roman" w:hAnsi="Times New Roman"/>
          <w:b/>
          <w:bCs/>
        </w:rPr>
        <w:t xml:space="preserve">1.4.15. </w:t>
      </w:r>
      <w:r>
        <w:rPr>
          <w:rFonts w:ascii="Times New Roman" w:hAnsi="Times New Roman"/>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CD292D" w:rsidRDefault="00CD292D" w:rsidP="00CD292D">
      <w:r>
        <w:rPr>
          <w:b/>
          <w:bCs/>
        </w:rPr>
        <w:t xml:space="preserve">1.4.16. </w:t>
      </w:r>
      <w:r>
        <w:t>Kationowa emulsja asfaltowa – emulsja, w której emulgator nadaje dodatnie ładunki cząstkom zdyspergowanego asfaltu.</w:t>
      </w:r>
    </w:p>
    <w:p w:rsidR="00CD292D" w:rsidRDefault="00CD292D" w:rsidP="00CD292D">
      <w:r>
        <w:rPr>
          <w:b/>
          <w:bCs/>
        </w:rPr>
        <w:t>1.4.17.</w:t>
      </w:r>
      <w:r>
        <w:t xml:space="preserve">Połączenia technologiczne </w:t>
      </w:r>
      <w:r>
        <w:rPr>
          <w:b/>
          <w:bCs/>
        </w:rPr>
        <w:t xml:space="preserve">– </w:t>
      </w:r>
      <w:r>
        <w:t>połączenia rożnych warstw ze sobą lub tych samych</w:t>
      </w:r>
    </w:p>
    <w:p w:rsidR="00CD292D" w:rsidRDefault="00CD292D" w:rsidP="00CD292D">
      <w:r>
        <w:t>warstw wykonywanych w rożnym czasie nie będących połączeniem międzywarstwowym</w:t>
      </w:r>
    </w:p>
    <w:p w:rsidR="00CD292D" w:rsidRDefault="00CD292D" w:rsidP="00CD292D">
      <w:r>
        <w:rPr>
          <w:b/>
          <w:bCs/>
        </w:rPr>
        <w:t>1.4.18.</w:t>
      </w:r>
      <w:r>
        <w:t>Złącza podłużne i poprzeczne</w:t>
      </w:r>
      <w:r>
        <w:rPr>
          <w:b/>
          <w:bCs/>
        </w:rPr>
        <w:t xml:space="preserve"> </w:t>
      </w:r>
      <w:r>
        <w:t>– połączenia tego samego materiału wbudowywanego</w:t>
      </w:r>
    </w:p>
    <w:p w:rsidR="00CD292D" w:rsidRDefault="00CD292D" w:rsidP="00CD292D">
      <w:r>
        <w:t>w rożnym czasie</w:t>
      </w:r>
    </w:p>
    <w:p w:rsidR="00CD292D" w:rsidRDefault="00CD292D" w:rsidP="00CD292D">
      <w:r>
        <w:rPr>
          <w:b/>
          <w:bCs/>
        </w:rPr>
        <w:t>1.4.19.</w:t>
      </w:r>
      <w:r>
        <w:t>Spoiny – połączenia rożnych materiałów, np. asfaltu lanego i betonu asfaltowego oraz warstwy asfaltowej z urządzeniami obcymi w nawierzchni lub ją ograniczającymi</w:t>
      </w:r>
    </w:p>
    <w:p w:rsidR="00CD292D" w:rsidRDefault="00CD292D" w:rsidP="00CD292D">
      <w:pPr>
        <w:pStyle w:val="StylIwony"/>
        <w:spacing w:after="0"/>
      </w:pPr>
      <w:r>
        <w:rPr>
          <w:rFonts w:ascii="Times New Roman" w:hAnsi="Times New Roman"/>
          <w:b/>
          <w:bCs/>
        </w:rPr>
        <w:t xml:space="preserve">1.4.20. </w:t>
      </w:r>
      <w:r>
        <w:rPr>
          <w:rFonts w:ascii="Times New Roman" w:hAnsi="Times New Roman"/>
        </w:rPr>
        <w:t>Pozostałe określenia podstawowe są zgodne z obowiązującymi, odpowiednimi polskimi normami i z definicjami podanymi w OST D-M-00.00.00 „Wymagania ogólne” pkt 1.4.</w:t>
      </w:r>
    </w:p>
    <w:p w:rsidR="00CD292D" w:rsidRDefault="00CD292D" w:rsidP="00CD292D">
      <w:pPr>
        <w:pStyle w:val="StylIwony"/>
      </w:pPr>
      <w:r>
        <w:rPr>
          <w:rFonts w:ascii="Times New Roman" w:hAnsi="Times New Roman"/>
          <w:b/>
          <w:bCs/>
        </w:rPr>
        <w:t xml:space="preserve">1.4.18. </w:t>
      </w:r>
      <w:r>
        <w:rPr>
          <w:rFonts w:ascii="Times New Roman" w:hAnsi="Times New Roman"/>
        </w:rPr>
        <w:t>Symbole i skróty dodatkowe</w:t>
      </w:r>
    </w:p>
    <w:tbl>
      <w:tblPr>
        <w:tblW w:w="0" w:type="auto"/>
        <w:tblCellMar>
          <w:left w:w="0" w:type="dxa"/>
          <w:right w:w="0" w:type="dxa"/>
        </w:tblCellMar>
        <w:tblLook w:val="04A0" w:firstRow="1" w:lastRow="0" w:firstColumn="1" w:lastColumn="0" w:noHBand="0" w:noVBand="1"/>
      </w:tblPr>
      <w:tblGrid>
        <w:gridCol w:w="896"/>
        <w:gridCol w:w="8176"/>
      </w:tblGrid>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AC_W</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beton asfaltowy do warstwy wiążącej i wyrównawczej,</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PMB</w:t>
            </w:r>
          </w:p>
        </w:tc>
        <w:tc>
          <w:tcPr>
            <w:tcW w:w="8186" w:type="dxa"/>
            <w:tcMar>
              <w:top w:w="0" w:type="dxa"/>
              <w:left w:w="108" w:type="dxa"/>
              <w:bottom w:w="0" w:type="dxa"/>
              <w:right w:w="108" w:type="dxa"/>
            </w:tcMar>
            <w:hideMark/>
          </w:tcPr>
          <w:p w:rsidR="00CD292D" w:rsidRDefault="00CD292D">
            <w:pPr>
              <w:pStyle w:val="StylIwony"/>
              <w:spacing w:before="0" w:after="0"/>
              <w:rPr>
                <w:lang w:val="en-US"/>
              </w:rPr>
            </w:pPr>
            <w:r>
              <w:rPr>
                <w:rFonts w:ascii="Times New Roman" w:hAnsi="Times New Roman"/>
                <w:lang w:val="en-US"/>
              </w:rPr>
              <w:t>- polimeroasfalt (ang. polymer modified bitumen),</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MG</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asfalt wielorodzajowy (ang. multigrade),</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D</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górny wymiar sita (przy określaniu wielkości ziaren kruszywa),</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D</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dolny wymiar sita (przy określaniu wielkości ziaren kruszywa),</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C</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kationowa emulsja asfaltowa,</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NPD</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właściwość użytkowa nie określana (ang. No Performance Determined; producent może jej nie określać),</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lastRenderedPageBreak/>
              <w:t>TBR</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do zadeklarowania (ang. To Be Reported; producent może dostarczyć odpowiednie informacje, jednak nie jest do tego zobowiązany),</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MOP</w:t>
            </w:r>
          </w:p>
        </w:tc>
        <w:tc>
          <w:tcPr>
            <w:tcW w:w="8186" w:type="dxa"/>
            <w:tcMar>
              <w:top w:w="0" w:type="dxa"/>
              <w:left w:w="108" w:type="dxa"/>
              <w:bottom w:w="0" w:type="dxa"/>
              <w:right w:w="108" w:type="dxa"/>
            </w:tcMar>
            <w:hideMark/>
          </w:tcPr>
          <w:p w:rsidR="00CD292D" w:rsidRDefault="00CD292D">
            <w:pPr>
              <w:pStyle w:val="StylIwony"/>
              <w:spacing w:before="0" w:after="0"/>
              <w:ind w:left="176" w:hanging="142"/>
            </w:pPr>
            <w:r>
              <w:rPr>
                <w:rFonts w:ascii="Times New Roman" w:hAnsi="Times New Roman"/>
              </w:rPr>
              <w:t>- miejsce obsługi podróżnych,</w:t>
            </w:r>
          </w:p>
        </w:tc>
      </w:tr>
      <w:tr w:rsidR="00CD292D" w:rsidTr="00CD292D">
        <w:tc>
          <w:tcPr>
            <w:tcW w:w="817"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ZKP</w:t>
            </w:r>
          </w:p>
        </w:tc>
        <w:tc>
          <w:tcPr>
            <w:tcW w:w="8186" w:type="dxa"/>
            <w:tcMar>
              <w:top w:w="0" w:type="dxa"/>
              <w:left w:w="108" w:type="dxa"/>
              <w:bottom w:w="0" w:type="dxa"/>
              <w:right w:w="108" w:type="dxa"/>
            </w:tcMar>
            <w:hideMark/>
          </w:tcPr>
          <w:p w:rsidR="00CD292D" w:rsidRDefault="00CD292D">
            <w:pPr>
              <w:pStyle w:val="StylIwony"/>
              <w:spacing w:before="0" w:after="0"/>
            </w:pPr>
            <w:r>
              <w:rPr>
                <w:rFonts w:ascii="Times New Roman" w:hAnsi="Times New Roman"/>
              </w:rPr>
              <w:t>- zakładowa kontrola produkcji.</w:t>
            </w:r>
          </w:p>
        </w:tc>
      </w:tr>
    </w:tbl>
    <w:p w:rsidR="00CD292D" w:rsidRDefault="00CD292D" w:rsidP="00CD292D">
      <w:pPr>
        <w:pStyle w:val="Nagwek2"/>
        <w:rPr>
          <w:rFonts w:eastAsia="Times New Roman"/>
        </w:rPr>
      </w:pPr>
      <w:r>
        <w:rPr>
          <w:rFonts w:eastAsia="Times New Roman"/>
        </w:rPr>
        <w:t>1.5. Ogólne wymagania dotyczące robót</w:t>
      </w:r>
    </w:p>
    <w:p w:rsidR="00CD292D" w:rsidRDefault="00CD292D" w:rsidP="00CD292D">
      <w:pPr>
        <w:pStyle w:val="StylIwony"/>
        <w:spacing w:before="0" w:after="0"/>
        <w:rPr>
          <w:rFonts w:eastAsiaTheme="minorEastAsia"/>
        </w:rPr>
      </w:pPr>
      <w:r>
        <w:rPr>
          <w:rFonts w:ascii="Times New Roman" w:hAnsi="Times New Roman"/>
          <w:b/>
          <w:bCs/>
        </w:rPr>
        <w:t xml:space="preserve">            </w:t>
      </w:r>
      <w:r>
        <w:rPr>
          <w:rFonts w:ascii="Times New Roman" w:hAnsi="Times New Roman"/>
        </w:rPr>
        <w:t>Ogólne wymagania dotyczące robót podano w OST D-M-00.00.00 „Wymagania ogólne” [1] pkt 1.5.</w:t>
      </w:r>
    </w:p>
    <w:p w:rsidR="00CD292D" w:rsidRDefault="00CD292D" w:rsidP="00CD292D">
      <w:pPr>
        <w:pStyle w:val="Nagwek1"/>
        <w:rPr>
          <w:rFonts w:eastAsia="Times New Roman"/>
        </w:rPr>
      </w:pPr>
      <w:bookmarkStart w:id="526" w:name="_Toc412707319"/>
      <w:r>
        <w:rPr>
          <w:rFonts w:eastAsia="Times New Roman"/>
        </w:rPr>
        <w:t>2. Materiały</w:t>
      </w:r>
      <w:bookmarkEnd w:id="526"/>
    </w:p>
    <w:p w:rsidR="00CD292D" w:rsidRDefault="00CD292D" w:rsidP="00CD292D">
      <w:pPr>
        <w:pStyle w:val="Nagwek2"/>
        <w:rPr>
          <w:rFonts w:eastAsia="Times New Roman"/>
        </w:rPr>
      </w:pPr>
      <w:r>
        <w:rPr>
          <w:rFonts w:eastAsia="Times New Roman"/>
        </w:rPr>
        <w:t>2.1. Ogólne wymagania dotyczące materiałów</w:t>
      </w:r>
    </w:p>
    <w:p w:rsidR="00CD292D" w:rsidRDefault="00CD292D" w:rsidP="00CD292D">
      <w:pPr>
        <w:rPr>
          <w:rFonts w:eastAsiaTheme="minorEastAsia"/>
        </w:rPr>
      </w:pPr>
      <w:r>
        <w:t>            Ogólne wymagania dotyczące materiałów, ich pozyskiwania i składowania, podano w  OST D-M-00.00.00 „Wymagania ogólne” [1] pkt 2.</w:t>
      </w:r>
    </w:p>
    <w:p w:rsidR="00CD292D" w:rsidRDefault="00CD292D" w:rsidP="00CD292D">
      <w:pPr>
        <w:pStyle w:val="StylIwony"/>
        <w:spacing w:before="0" w:after="0"/>
        <w:ind w:firstLine="709"/>
      </w:pPr>
      <w:r>
        <w:rPr>
          <w:rFonts w:ascii="Times New Roman" w:hAnsi="Times New Roman"/>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CD292D" w:rsidRDefault="00CD292D" w:rsidP="00CD292D">
      <w:pPr>
        <w:pStyle w:val="StylIwony"/>
        <w:spacing w:before="0" w:after="0"/>
        <w:ind w:firstLine="709"/>
      </w:pPr>
      <w:r>
        <w:rPr>
          <w:rFonts w:ascii="Times New Roman" w:hAnsi="Times New Roman"/>
        </w:rPr>
        <w:t>Wbudowywana mieszanka mineralno-asfaltowa może pochodzić z kilku wytwórni pod warunkiem, że jest produkowana z tych samych materiałów (o ustalonej przydatności ) i w oparciu o takie samo badanie typu.</w:t>
      </w:r>
    </w:p>
    <w:p w:rsidR="00CD292D" w:rsidRDefault="00CD292D" w:rsidP="00CD292D">
      <w:pPr>
        <w:pStyle w:val="Nagwek2"/>
        <w:rPr>
          <w:rFonts w:eastAsia="Times New Roman"/>
        </w:rPr>
      </w:pPr>
      <w:r>
        <w:rPr>
          <w:rFonts w:eastAsia="Times New Roman"/>
        </w:rPr>
        <w:t>2.2. Materiały stosowane do betonu asfaltowego do warstwy wyrównawczej i wiążącej</w:t>
      </w:r>
    </w:p>
    <w:p w:rsidR="00CD292D" w:rsidRDefault="00CD292D" w:rsidP="00CD292D">
      <w:pPr>
        <w:ind w:firstLine="709"/>
        <w:rPr>
          <w:rFonts w:eastAsiaTheme="minorEastAsia"/>
        </w:rPr>
      </w:pPr>
      <w:r>
        <w:t xml:space="preserve">Rodzaje stosowanych materiałów do betonu asfaltowego do warstwy wyrównawczej i wiążącej w zależności od kategorii ruchu podano w tablicy 2. </w:t>
      </w:r>
    </w:p>
    <w:p w:rsidR="00CD292D" w:rsidRDefault="00CD292D" w:rsidP="00CD292D">
      <w:pPr>
        <w:spacing w:before="60" w:after="60"/>
        <w:ind w:left="900" w:hanging="900"/>
      </w:pPr>
      <w:r>
        <w:t>Tablica 2. Materiały  do warstwy wiążącej i wyrównawczej z betonu asfaltowego</w:t>
      </w:r>
    </w:p>
    <w:p w:rsidR="00CD292D" w:rsidRDefault="00CD292D" w:rsidP="00CD292D">
      <w:pPr>
        <w:ind w:left="993" w:hanging="993"/>
      </w:pPr>
      <w:r>
        <w:rPr>
          <w:sz w:val="16"/>
          <w:szCs w:val="16"/>
        </w:rPr>
        <w:t> </w:t>
      </w:r>
    </w:p>
    <w:tbl>
      <w:tblPr>
        <w:tblW w:w="0" w:type="auto"/>
        <w:tblInd w:w="108" w:type="dxa"/>
        <w:tblCellMar>
          <w:left w:w="0" w:type="dxa"/>
          <w:right w:w="0" w:type="dxa"/>
        </w:tblCellMar>
        <w:tblLook w:val="04A0" w:firstRow="1" w:lastRow="0" w:firstColumn="1" w:lastColumn="0" w:noHBand="0" w:noVBand="1"/>
      </w:tblPr>
      <w:tblGrid>
        <w:gridCol w:w="3000"/>
        <w:gridCol w:w="942"/>
        <w:gridCol w:w="942"/>
        <w:gridCol w:w="942"/>
        <w:gridCol w:w="942"/>
        <w:gridCol w:w="942"/>
        <w:gridCol w:w="942"/>
      </w:tblGrid>
      <w:tr w:rsidR="00CD292D" w:rsidTr="00CD292D">
        <w:tc>
          <w:tcPr>
            <w:tcW w:w="3000"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Materiał</w:t>
            </w:r>
          </w:p>
        </w:tc>
        <w:tc>
          <w:tcPr>
            <w:tcW w:w="5652"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Kategoria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KR1 ÷ KR2</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KR3 ÷ KR4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KR5 ÷ KR7</w:t>
            </w:r>
          </w:p>
        </w:tc>
      </w:tr>
      <w:tr w:rsidR="00CD292D" w:rsidTr="00CD292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Mieszanka mineralno-asfaltowa o wymiarze D,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11</w:t>
            </w:r>
            <w:r>
              <w:rPr>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22</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22</w:t>
            </w:r>
          </w:p>
        </w:tc>
      </w:tr>
      <w:tr w:rsidR="00CD292D" w:rsidTr="00CD292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Granulat asfaltowy o wymiarze U,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16</w:t>
            </w:r>
            <w:r>
              <w:rPr>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31,5</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31,5</w:t>
            </w:r>
          </w:p>
        </w:tc>
      </w:tr>
      <w:tr w:rsidR="00CD292D" w:rsidTr="00CD292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Lepiszcze asfaltowe</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50/70</w:t>
            </w:r>
          </w:p>
          <w:p w:rsidR="00CD292D" w:rsidRDefault="00CD292D">
            <w:pPr>
              <w:jc w:val="center"/>
            </w:pPr>
            <w:r>
              <w:t>MG 50/70-54/64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35/50, 50,70</w:t>
            </w:r>
          </w:p>
          <w:p w:rsidR="00CD292D" w:rsidRDefault="00CD292D">
            <w:pPr>
              <w:jc w:val="center"/>
            </w:pPr>
            <w:r>
              <w:t>PMB 25/55-60</w:t>
            </w:r>
          </w:p>
          <w:p w:rsidR="00CD292D" w:rsidRDefault="00CD292D">
            <w:pPr>
              <w:jc w:val="center"/>
            </w:pPr>
            <w:r>
              <w:t>MG 50/70-54/64</w:t>
            </w:r>
          </w:p>
          <w:p w:rsidR="00CD292D" w:rsidRDefault="00CD292D">
            <w:pPr>
              <w:jc w:val="center"/>
            </w:pPr>
            <w:r>
              <w:t>MG 35/50-57/69</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35/50</w:t>
            </w:r>
          </w:p>
          <w:p w:rsidR="00CD292D" w:rsidRDefault="00CD292D">
            <w:pPr>
              <w:jc w:val="center"/>
            </w:pPr>
            <w:r>
              <w:t>PMB 25/55-60</w:t>
            </w:r>
          </w:p>
          <w:p w:rsidR="00CD292D" w:rsidRDefault="00CD292D">
            <w:pPr>
              <w:jc w:val="center"/>
            </w:pPr>
            <w:r>
              <w:t>PMB 25/55-80</w:t>
            </w:r>
          </w:p>
          <w:p w:rsidR="00CD292D" w:rsidRDefault="00CD292D">
            <w:pPr>
              <w:jc w:val="center"/>
            </w:pPr>
            <w:r>
              <w:t>MG 35/50-57/69</w:t>
            </w:r>
          </w:p>
        </w:tc>
      </w:tr>
      <w:tr w:rsidR="00CD292D" w:rsidTr="00CD292D">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Kruszywa mineralne</w:t>
            </w:r>
          </w:p>
        </w:tc>
        <w:tc>
          <w:tcPr>
            <w:tcW w:w="5652"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Tabele  8, 9,10,11 wg WT-1 2014 [81] (tablice 6-9 wg OST)</w:t>
            </w:r>
          </w:p>
        </w:tc>
      </w:tr>
      <w:tr w:rsidR="00CD292D" w:rsidTr="00CD292D">
        <w:tc>
          <w:tcPr>
            <w:tcW w:w="8652"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459" w:hanging="360"/>
            </w:pPr>
            <w:r>
              <w:t>a)</w:t>
            </w:r>
            <w:r>
              <w:rPr>
                <w:sz w:val="14"/>
                <w:szCs w:val="14"/>
              </w:rPr>
              <w:t xml:space="preserve">      </w:t>
            </w:r>
            <w:r>
              <w:t>Dopuszcza się AC11 do warstwy wyrównawczej dróg KR1 do KR4 przy spełnieniu wymagań tablicy 21</w:t>
            </w:r>
          </w:p>
        </w:tc>
      </w:tr>
    </w:tbl>
    <w:p w:rsidR="00CD292D" w:rsidRDefault="00CD292D" w:rsidP="00CD292D">
      <w:pPr>
        <w:pStyle w:val="Nagwek2"/>
        <w:rPr>
          <w:rFonts w:eastAsia="Times New Roman"/>
        </w:rPr>
      </w:pPr>
      <w:r>
        <w:rPr>
          <w:rFonts w:eastAsia="Times New Roman"/>
        </w:rPr>
        <w:lastRenderedPageBreak/>
        <w:t>2.3. Lepiszcza asfaltowe</w:t>
      </w:r>
    </w:p>
    <w:p w:rsidR="00CD292D" w:rsidRDefault="00CD292D" w:rsidP="00CD292D">
      <w:pPr>
        <w:rPr>
          <w:rFonts w:eastAsiaTheme="minorEastAsia"/>
        </w:rPr>
      </w:pPr>
      <w:r>
        <w:t>            Należy stosować asfalty drogowe wg PN-EN 12591 [23],  polimeroasfalty wg PN-EN 14023 [66] [66a] lub asfalty wielorodzajowe wg   PN-EN 13924-2 [65] [65a].</w:t>
      </w:r>
    </w:p>
    <w:p w:rsidR="00CD292D" w:rsidRDefault="00CD292D" w:rsidP="00CD292D">
      <w:pPr>
        <w:ind w:firstLine="708"/>
      </w:pPr>
      <w:r>
        <w:t xml:space="preserve"> Oprócz lepiszcz wymienionych w tablicy 2 można stosować inne lepiszcza nienormowe według aprobat technicznych. </w:t>
      </w:r>
    </w:p>
    <w:p w:rsidR="00CD292D" w:rsidRDefault="00CD292D" w:rsidP="00CD292D">
      <w:pPr>
        <w:ind w:firstLine="708"/>
      </w:pPr>
      <w:r>
        <w:t xml:space="preserve">Asfalty drogowe powinny spełniać wymagania podane w tablicy 3. </w:t>
      </w:r>
    </w:p>
    <w:p w:rsidR="00CD292D" w:rsidRDefault="00CD292D" w:rsidP="00CD292D">
      <w:pPr>
        <w:ind w:firstLine="708"/>
      </w:pPr>
      <w:r>
        <w:t>Polimeroasfalty  powinny spełniać wymagania podane  w tablicy 4.</w:t>
      </w:r>
    </w:p>
    <w:p w:rsidR="00CD292D" w:rsidRDefault="00CD292D" w:rsidP="00CD292D">
      <w:pPr>
        <w:ind w:firstLine="708"/>
      </w:pPr>
      <w:r>
        <w:t>Asfalty wielorodzajowe powinny spełniać wymagania podane w tablicy 5.</w:t>
      </w:r>
    </w:p>
    <w:p w:rsidR="00CD292D" w:rsidRDefault="00CD292D" w:rsidP="00CD292D">
      <w:pPr>
        <w:spacing w:before="120" w:after="120"/>
      </w:pPr>
      <w:r>
        <w:t>Tablica 3. Wymagania wobec asfaltów drogowych wg PN-EN 12591 [23]</w:t>
      </w:r>
    </w:p>
    <w:tbl>
      <w:tblPr>
        <w:tblpPr w:leftFromText="141" w:rightFromText="141" w:horzAnchor="margin" w:tblpXSpec="center" w:tblpY="270"/>
        <w:tblW w:w="10605" w:type="dxa"/>
        <w:tblCellMar>
          <w:left w:w="0" w:type="dxa"/>
          <w:right w:w="0" w:type="dxa"/>
        </w:tblCellMar>
        <w:tblLook w:val="04A0" w:firstRow="1" w:lastRow="0" w:firstColumn="1" w:lastColumn="0" w:noHBand="0" w:noVBand="1"/>
      </w:tblPr>
      <w:tblGrid>
        <w:gridCol w:w="647"/>
        <w:gridCol w:w="3895"/>
        <w:gridCol w:w="1433"/>
        <w:gridCol w:w="1914"/>
        <w:gridCol w:w="1358"/>
        <w:gridCol w:w="1358"/>
      </w:tblGrid>
      <w:tr w:rsidR="00CD292D" w:rsidTr="003E5210">
        <w:tc>
          <w:tcPr>
            <w:tcW w:w="64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sidP="003E5210">
            <w:pPr>
              <w:jc w:val="center"/>
            </w:pPr>
            <w:r>
              <w:lastRenderedPageBreak/>
              <w:t>Lp.</w:t>
            </w:r>
          </w:p>
        </w:tc>
        <w:tc>
          <w:tcPr>
            <w:tcW w:w="389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CD292D" w:rsidRDefault="00CD292D" w:rsidP="003E5210">
            <w:pPr>
              <w:jc w:val="center"/>
            </w:pPr>
            <w:r>
              <w:t>Właściwości</w:t>
            </w:r>
          </w:p>
        </w:tc>
        <w:tc>
          <w:tcPr>
            <w:tcW w:w="1433" w:type="dxa"/>
            <w:vMerge w:val="restart"/>
            <w:tcBorders>
              <w:top w:val="single" w:sz="8" w:space="0" w:color="auto"/>
              <w:left w:val="single" w:sz="4" w:space="0" w:color="auto"/>
              <w:bottom w:val="single" w:sz="8" w:space="0" w:color="auto"/>
              <w:right w:val="single" w:sz="8" w:space="0" w:color="auto"/>
            </w:tcBorders>
            <w:vAlign w:val="center"/>
            <w:hideMark/>
          </w:tcPr>
          <w:p w:rsidR="00CD292D" w:rsidRDefault="00CD292D" w:rsidP="003E5210">
            <w:pPr>
              <w:jc w:val="center"/>
            </w:pPr>
            <w:r>
              <w:t>Jednostka</w:t>
            </w:r>
          </w:p>
        </w:tc>
        <w:tc>
          <w:tcPr>
            <w:tcW w:w="19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sidP="003E5210">
            <w:pPr>
              <w:jc w:val="center"/>
            </w:pPr>
            <w:r>
              <w:t>Metoda</w:t>
            </w:r>
          </w:p>
          <w:p w:rsidR="00CD292D" w:rsidRDefault="00CD292D" w:rsidP="003E5210">
            <w:pPr>
              <w:jc w:val="center"/>
            </w:pPr>
            <w:r>
              <w:t>badania</w:t>
            </w:r>
          </w:p>
        </w:tc>
        <w:tc>
          <w:tcPr>
            <w:tcW w:w="271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Rodzaj asfaltu</w:t>
            </w:r>
          </w:p>
        </w:tc>
      </w:tr>
      <w:tr w:rsidR="00CD292D" w:rsidTr="003E5210">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rsidP="003E5210">
            <w:pPr>
              <w:rPr>
                <w:rFonts w:eastAsiaTheme="minorEastAsia"/>
                <w:sz w:val="24"/>
                <w:szCs w:val="24"/>
              </w:rPr>
            </w:pPr>
          </w:p>
        </w:tc>
        <w:tc>
          <w:tcPr>
            <w:tcW w:w="0" w:type="auto"/>
            <w:vMerge/>
            <w:tcBorders>
              <w:top w:val="single" w:sz="8" w:space="0" w:color="auto"/>
              <w:left w:val="nil"/>
              <w:bottom w:val="single" w:sz="8" w:space="0" w:color="auto"/>
              <w:right w:val="single" w:sz="4" w:space="0" w:color="auto"/>
            </w:tcBorders>
            <w:vAlign w:val="center"/>
            <w:hideMark/>
          </w:tcPr>
          <w:p w:rsidR="00CD292D" w:rsidRDefault="00CD292D" w:rsidP="003E5210">
            <w:pPr>
              <w:rPr>
                <w:rFonts w:eastAsiaTheme="minorEastAsia"/>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CD292D" w:rsidRDefault="00CD292D" w:rsidP="003E5210">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rsidP="003E5210">
            <w:pPr>
              <w:rPr>
                <w:rFonts w:eastAsiaTheme="minorEastAsia"/>
                <w:sz w:val="24"/>
                <w:szCs w:val="24"/>
              </w:rPr>
            </w:pP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35/50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50/70</w:t>
            </w:r>
          </w:p>
        </w:tc>
      </w:tr>
      <w:tr w:rsidR="00CD292D" w:rsidTr="003E5210">
        <w:tc>
          <w:tcPr>
            <w:tcW w:w="10605"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WŁAŚCIWOŚCI   OBLIGATORYJNE</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1</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Penetracja w 25°C</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0,1 mm</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1426 [20]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35÷50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50÷70</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2</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Temperatura mięknienia</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°C</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1427 [21]</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50÷58</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46÷54</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3</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 xml:space="preserve">Temperatura zapłonu, </w:t>
            </w:r>
          </w:p>
          <w:p w:rsidR="00CD292D" w:rsidRDefault="00CD292D" w:rsidP="003E5210">
            <w:r>
              <w:t>nie mniej niż</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°C</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22592 [69]</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240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230</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4</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Zawartość składników rozpusz-czalnych, nie mniej niż</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 m/m</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12592 [24]</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99</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99</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 xml:space="preserve">Zmiana masy po starzeniu (ubytek lub przyrost), </w:t>
            </w:r>
          </w:p>
          <w:p w:rsidR="00CD292D" w:rsidRDefault="00CD292D" w:rsidP="003E5210">
            <w:r>
              <w:t>nie więcej niż</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 </w:t>
            </w:r>
          </w:p>
          <w:p w:rsidR="00CD292D" w:rsidRDefault="00CD292D" w:rsidP="003E5210">
            <w:pPr>
              <w:jc w:val="center"/>
            </w:pPr>
            <w:r>
              <w:t>% m/m</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PN-EN 12607-1 [29]</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 </w:t>
            </w:r>
          </w:p>
          <w:p w:rsidR="00CD292D" w:rsidRDefault="00CD292D" w:rsidP="003E5210">
            <w:pPr>
              <w:jc w:val="center"/>
            </w:pPr>
            <w:r>
              <w:t>0,5</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 </w:t>
            </w:r>
          </w:p>
          <w:p w:rsidR="00CD292D" w:rsidRDefault="00CD292D" w:rsidP="003E5210">
            <w:pPr>
              <w:jc w:val="center"/>
            </w:pPr>
            <w:r>
              <w:t>0,5</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6</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Pozostała penetracja po starzeniu, nie mniej niż</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1426 [20]</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53</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50</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7</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Temperatura mięknienia po starzeniu, nie mniej niż</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°C</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1427 [21]</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52</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48</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8</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Wzrost temp. mięknienia po starzeniu, nie więcej niż</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°C</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1427 [21]</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8</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9</w:t>
            </w:r>
          </w:p>
        </w:tc>
      </w:tr>
      <w:tr w:rsidR="00CD292D" w:rsidTr="003E5210">
        <w:tc>
          <w:tcPr>
            <w:tcW w:w="10605"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WŁAŚCIWOŚCI   SPECJALNE   KRAJOWE</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9</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r>
              <w:t>Temperatura łamliwości Fraassa, nie więcej niż</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°C</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PN-EN 12593 [25]</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-5</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-8</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10</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pPr>
            <w:r>
              <w:t>Indeks penetracji</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PN-EN 12591[23]</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Brak wymagań</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Brak wymagań</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11</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pPr>
            <w:r>
              <w:t>Lepkość dynamiczna w 60°C</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Pa∙s</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PN-EN 12596[27]</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Brak wymagań</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Brak wymagań</w:t>
            </w:r>
          </w:p>
        </w:tc>
      </w:tr>
      <w:tr w:rsidR="00CD292D" w:rsidTr="003E5210">
        <w:tc>
          <w:tcPr>
            <w:tcW w:w="64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12</w:t>
            </w:r>
          </w:p>
        </w:tc>
        <w:tc>
          <w:tcPr>
            <w:tcW w:w="389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pPr>
            <w:r>
              <w:t>Lepkość kinematyczna w 135°C</w:t>
            </w:r>
          </w:p>
        </w:tc>
        <w:tc>
          <w:tcPr>
            <w:tcW w:w="143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mm2/s</w:t>
            </w:r>
          </w:p>
        </w:tc>
        <w:tc>
          <w:tcPr>
            <w:tcW w:w="191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spacing w:before="120"/>
              <w:jc w:val="center"/>
            </w:pPr>
            <w:r>
              <w:t>PN-EN 12595[26]</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Brak wymagań</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sidP="003E5210">
            <w:pPr>
              <w:jc w:val="center"/>
            </w:pPr>
            <w:r>
              <w:t>Brak wymagań</w:t>
            </w:r>
          </w:p>
        </w:tc>
      </w:tr>
    </w:tbl>
    <w:tbl>
      <w:tblPr>
        <w:tblpPr w:leftFromText="141" w:rightFromText="141" w:vertAnchor="text" w:horzAnchor="margin" w:tblpXSpec="center" w:tblpY="-1132"/>
        <w:tblW w:w="10757" w:type="dxa"/>
        <w:tblCellMar>
          <w:left w:w="0" w:type="dxa"/>
          <w:right w:w="0" w:type="dxa"/>
        </w:tblCellMar>
        <w:tblLook w:val="04A0" w:firstRow="1" w:lastRow="0" w:firstColumn="1" w:lastColumn="0" w:noHBand="0" w:noVBand="1"/>
      </w:tblPr>
      <w:tblGrid>
        <w:gridCol w:w="2632"/>
        <w:gridCol w:w="2470"/>
        <w:gridCol w:w="1440"/>
        <w:gridCol w:w="813"/>
        <w:gridCol w:w="993"/>
        <w:gridCol w:w="708"/>
        <w:gridCol w:w="851"/>
        <w:gridCol w:w="850"/>
      </w:tblGrid>
      <w:tr w:rsidR="003E5210" w:rsidTr="003E5210">
        <w:tc>
          <w:tcPr>
            <w:tcW w:w="263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lastRenderedPageBreak/>
              <w:t>Wymaganie</w:t>
            </w:r>
          </w:p>
          <w:p w:rsidR="003E5210" w:rsidRDefault="003E5210" w:rsidP="003E5210">
            <w:pPr>
              <w:jc w:val="center"/>
            </w:pPr>
            <w:r>
              <w:t>podstawowe</w:t>
            </w:r>
          </w:p>
        </w:tc>
        <w:tc>
          <w:tcPr>
            <w:tcW w:w="247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Właściwość</w:t>
            </w:r>
          </w:p>
        </w:tc>
        <w:tc>
          <w:tcPr>
            <w:tcW w:w="144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Metoda</w:t>
            </w:r>
          </w:p>
          <w:p w:rsidR="003E5210" w:rsidRDefault="003E5210" w:rsidP="003E5210">
            <w:pPr>
              <w:jc w:val="center"/>
            </w:pPr>
            <w:r>
              <w:t>badania</w:t>
            </w:r>
          </w:p>
        </w:tc>
        <w:tc>
          <w:tcPr>
            <w:tcW w:w="81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Jed-nostka</w:t>
            </w:r>
          </w:p>
        </w:tc>
        <w:tc>
          <w:tcPr>
            <w:tcW w:w="340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Gatunki asfaltów modyfikowanych</w:t>
            </w:r>
          </w:p>
          <w:p w:rsidR="003E5210" w:rsidRDefault="003E5210" w:rsidP="003E5210">
            <w:pPr>
              <w:jc w:val="center"/>
            </w:pPr>
            <w:r>
              <w:t>polimerami (PMB)</w:t>
            </w:r>
          </w:p>
        </w:tc>
      </w:tr>
      <w:tr w:rsidR="003E5210" w:rsidTr="003E5210">
        <w:tc>
          <w:tcPr>
            <w:tcW w:w="2632" w:type="dxa"/>
            <w:vMerge/>
            <w:tcBorders>
              <w:top w:val="single" w:sz="8" w:space="0" w:color="auto"/>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25/55 – 60</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25/55 – 80</w:t>
            </w:r>
          </w:p>
        </w:tc>
      </w:tr>
      <w:tr w:rsidR="003E5210" w:rsidTr="003E5210">
        <w:tc>
          <w:tcPr>
            <w:tcW w:w="2632" w:type="dxa"/>
            <w:vMerge/>
            <w:tcBorders>
              <w:top w:val="single" w:sz="8" w:space="0" w:color="auto"/>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wyma-ganie</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spacing w:before="120"/>
              <w:jc w:val="center"/>
            </w:pPr>
            <w: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wyma-ganie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spacing w:before="120"/>
              <w:jc w:val="center"/>
            </w:pPr>
            <w:r>
              <w:t>klasa</w:t>
            </w:r>
          </w:p>
        </w:tc>
      </w:tr>
      <w:tr w:rsidR="003E5210" w:rsidTr="003E5210">
        <w:tc>
          <w:tcPr>
            <w:tcW w:w="2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5210" w:rsidRDefault="003E5210" w:rsidP="003E5210">
            <w:r>
              <w:t>Konsystencja w pośrednich tempe-raturach eksploa-tacyjnych</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 xml:space="preserve">Penetracja </w:t>
            </w:r>
          </w:p>
          <w:p w:rsidR="003E5210" w:rsidRDefault="003E5210" w:rsidP="003E5210">
            <w:r>
              <w:t>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1426 [20]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25-55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25-55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3</w:t>
            </w:r>
          </w:p>
        </w:tc>
      </w:tr>
      <w:tr w:rsidR="003E5210" w:rsidTr="003E5210">
        <w:tc>
          <w:tcPr>
            <w:tcW w:w="2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5210" w:rsidRDefault="003E5210" w:rsidP="003E5210">
            <w:r>
              <w:t>Konsystencja  w wysokich  temperaturach eksploatacyjnych</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Temperatura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1427 [21]</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w:t>
            </w:r>
          </w:p>
        </w:tc>
      </w:tr>
      <w:tr w:rsidR="003E5210" w:rsidTr="003E5210">
        <w:tc>
          <w:tcPr>
            <w:tcW w:w="2632"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Kohezja</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Siła rozciągania (mała prędkość rozciągania)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13589 [62]      PN-EN 13703 [63]</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J/cm</w:t>
            </w:r>
            <w:r>
              <w:rPr>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2 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 </w:t>
            </w:r>
          </w:p>
          <w:p w:rsidR="003E5210" w:rsidRDefault="003E5210" w:rsidP="003E5210">
            <w:pPr>
              <w:jc w:val="center"/>
            </w:pPr>
            <w:r>
              <w:t>TBR</w:t>
            </w:r>
            <w:r>
              <w:rPr>
                <w:vertAlign w:val="superscript"/>
              </w:rPr>
              <w:t>b</w:t>
            </w:r>
          </w:p>
          <w:p w:rsidR="003E5210" w:rsidRDefault="003E5210" w:rsidP="003E5210">
            <w:pPr>
              <w:jc w:val="center"/>
            </w:pPr>
            <w:r>
              <w:t>(w 15°C)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 </w:t>
            </w:r>
          </w:p>
          <w:p w:rsidR="003E5210" w:rsidRDefault="003E5210" w:rsidP="003E5210">
            <w:pPr>
              <w:jc w:val="center"/>
            </w:pPr>
            <w:r>
              <w:t>-</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Rozciąganie bezpośrednie  w 5°C (rozciąganie 100 mm/min)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13587 [60]      PN-EN 13703 [63]</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J/cm</w:t>
            </w:r>
            <w:r>
              <w:rPr>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 </w:t>
            </w:r>
          </w:p>
          <w:p w:rsidR="003E5210" w:rsidRDefault="003E5210" w:rsidP="003E5210">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spacing w:before="120"/>
              <w:jc w:val="center"/>
            </w:pPr>
            <w:r>
              <w:t>-</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Wahadło Vialit (metoda uderzenia)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13588 [61]</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J/cm</w:t>
            </w:r>
            <w:r>
              <w:rPr>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w:t>
            </w:r>
          </w:p>
        </w:tc>
      </w:tr>
      <w:tr w:rsidR="003E5210" w:rsidTr="003E5210">
        <w:tc>
          <w:tcPr>
            <w:tcW w:w="2632"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5210" w:rsidRDefault="003E5210" w:rsidP="003E5210">
            <w:r>
              <w:t xml:space="preserve">Stałość konsystencji (Odporność </w:t>
            </w:r>
          </w:p>
          <w:p w:rsidR="003E5210" w:rsidRDefault="003E5210" w:rsidP="003E5210">
            <w:r>
              <w:t>na starzenie wg PN-EN 12607-1 lub  -3 [29] [30]</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Zmiana masy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12607-1[29]</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0,5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3</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Pozostała penetracja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1426 [20]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7</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Wzrost temperatury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1427 [21]</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w:t>
            </w:r>
          </w:p>
        </w:tc>
      </w:tr>
      <w:tr w:rsidR="003E5210" w:rsidTr="003E5210">
        <w:trPr>
          <w:trHeight w:val="510"/>
        </w:trPr>
        <w:tc>
          <w:tcPr>
            <w:tcW w:w="26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Inne właściwości</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Temperatura zapłonu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ISO 2592 [70]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235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3</w:t>
            </w:r>
          </w:p>
        </w:tc>
      </w:tr>
      <w:tr w:rsidR="003E5210" w:rsidTr="003E5210">
        <w:trPr>
          <w:trHeight w:val="590"/>
        </w:trPr>
        <w:tc>
          <w:tcPr>
            <w:tcW w:w="2632"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Wymagania</w:t>
            </w:r>
          </w:p>
          <w:p w:rsidR="003E5210" w:rsidRDefault="003E5210" w:rsidP="003E5210">
            <w:r>
              <w:t>Dodatkowe</w:t>
            </w: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Temperatura łamliwości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12593 [25]</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-15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7</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Nawrót sprężysty 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PN-EN 13398 [58]</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Nawrót sprężysty w 10°C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TBR</w:t>
            </w:r>
            <w:r>
              <w:rPr>
                <w:vertAlign w:val="superscript"/>
              </w:rPr>
              <w:t>b</w:t>
            </w:r>
          </w:p>
          <w:p w:rsidR="003E5210" w:rsidRDefault="003E5210" w:rsidP="003E5210">
            <w:pPr>
              <w:jc w:val="center"/>
            </w:pPr>
            <w: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1</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Zakres plastyczności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14023 [66] Punkt 5.1.9</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NPD</w:t>
            </w:r>
            <w:r>
              <w:rPr>
                <w:vertAlign w:val="superscript"/>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3E5210" w:rsidRDefault="003E5210" w:rsidP="003E5210">
            <w:pPr>
              <w:jc w:val="center"/>
            </w:pPr>
            <w:r>
              <w:t>0</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Stabilność magazyno-wania. Różnica tempe-ratur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13399 [59]</w:t>
            </w:r>
          </w:p>
          <w:p w:rsidR="003E5210" w:rsidRDefault="003E5210" w:rsidP="003E5210">
            <w:pPr>
              <w:jc w:val="center"/>
            </w:pPr>
            <w:r>
              <w:t>PN-EN 1427 [21]</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2</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Stabilność magazynowania. Różnica penetracji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13399 [59]</w:t>
            </w:r>
          </w:p>
          <w:p w:rsidR="003E5210" w:rsidRDefault="003E5210" w:rsidP="003E5210">
            <w:pPr>
              <w:jc w:val="center"/>
            </w:pPr>
            <w:r>
              <w:t>PN-EN 1426 [20]</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Spadek temperatury mięknienia po starzeniu wg PN-EN 12607-1lub-3 [29] [30]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12607-1 [29]</w:t>
            </w:r>
          </w:p>
          <w:p w:rsidR="003E5210" w:rsidRDefault="003E5210" w:rsidP="003E5210">
            <w:pPr>
              <w:jc w:val="center"/>
            </w:pPr>
            <w:r>
              <w:t>PN-EN 1427 [21]</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TBR</w:t>
            </w:r>
            <w:r>
              <w:rPr>
                <w:vertAlign w:val="superscript"/>
              </w:rPr>
              <w:t>b</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TBR</w:t>
            </w:r>
            <w:r>
              <w:rPr>
                <w:vertAlign w:val="superscript"/>
              </w:rPr>
              <w:t>b</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1</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 xml:space="preserve">Nawrót sprężysty w 25°C po starzeniu wg PN-EN 12607-1 lub  </w:t>
            </w:r>
          </w:p>
          <w:p w:rsidR="003E5210" w:rsidRDefault="003E5210" w:rsidP="003E5210">
            <w:r>
              <w:t> -3 [29] [30]</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PN-EN 12607-1 [29]</w:t>
            </w:r>
          </w:p>
          <w:p w:rsidR="003E5210" w:rsidRDefault="003E5210" w:rsidP="003E5210">
            <w:pPr>
              <w:jc w:val="center"/>
            </w:pPr>
            <w:r>
              <w:t>PN-EN 13398 [58]</w:t>
            </w:r>
          </w:p>
        </w:tc>
        <w:tc>
          <w:tcPr>
            <w:tcW w:w="813"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 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4</w:t>
            </w:r>
          </w:p>
        </w:tc>
      </w:tr>
      <w:tr w:rsidR="003E5210" w:rsidTr="003E5210">
        <w:tc>
          <w:tcPr>
            <w:tcW w:w="2632" w:type="dxa"/>
            <w:vMerge/>
            <w:tcBorders>
              <w:top w:val="nil"/>
              <w:left w:val="single" w:sz="8" w:space="0" w:color="auto"/>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24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r>
              <w:t xml:space="preserve">Nawrót sprężysty w 10°C po starzeniu wg PN-EN 12607-1 lub  </w:t>
            </w:r>
          </w:p>
          <w:p w:rsidR="003E5210" w:rsidRDefault="003E5210" w:rsidP="003E5210">
            <w:r>
              <w:t> -3 [29] [30]</w:t>
            </w:r>
          </w:p>
        </w:tc>
        <w:tc>
          <w:tcPr>
            <w:tcW w:w="0" w:type="auto"/>
            <w:vMerge/>
            <w:tcBorders>
              <w:top w:val="nil"/>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3E5210" w:rsidRDefault="003E5210" w:rsidP="003E5210">
            <w:pPr>
              <w:rPr>
                <w:rFonts w:eastAsiaTheme="minorEastAsia"/>
                <w:sz w:val="24"/>
                <w:szCs w:val="24"/>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NPD</w:t>
            </w:r>
            <w:r>
              <w:rPr>
                <w:vertAlign w:val="superscript"/>
              </w:rPr>
              <w:t>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5210" w:rsidRDefault="003E5210" w:rsidP="003E5210">
            <w:pPr>
              <w:jc w:val="center"/>
            </w:pPr>
            <w:r>
              <w:t>0</w:t>
            </w:r>
          </w:p>
        </w:tc>
      </w:tr>
      <w:tr w:rsidR="003E5210" w:rsidTr="003E5210">
        <w:tc>
          <w:tcPr>
            <w:tcW w:w="10757"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E5210" w:rsidRDefault="003E5210" w:rsidP="003E5210">
            <w:r>
              <w:rPr>
                <w:vertAlign w:val="superscript"/>
              </w:rPr>
              <w:t>a</w:t>
            </w:r>
            <w:r>
              <w:t xml:space="preserve"> NPD – No Performance Determined (właściwość użytkowa nie określana)</w:t>
            </w:r>
          </w:p>
          <w:p w:rsidR="003E5210" w:rsidRDefault="003E5210" w:rsidP="003E5210">
            <w:r>
              <w:rPr>
                <w:vertAlign w:val="superscript"/>
              </w:rPr>
              <w:t>b</w:t>
            </w:r>
            <w:r>
              <w:t xml:space="preserve"> TBR – To Be Reported (do zadeklarowania)</w:t>
            </w:r>
          </w:p>
        </w:tc>
      </w:tr>
    </w:tbl>
    <w:p w:rsidR="00CD292D" w:rsidRDefault="00CD292D" w:rsidP="00CD292D">
      <w:pPr>
        <w:spacing w:before="240" w:after="120"/>
        <w:ind w:left="1202" w:hanging="1202"/>
        <w:rPr>
          <w:rFonts w:eastAsiaTheme="minorEastAsia"/>
        </w:rPr>
      </w:pPr>
      <w:r>
        <w:t>Tablica 4. Wymagania wobec asfaltów modyfikowanych polimerami (polimeroasfaltów) wg PN-EN 14023 [66] [66a]</w:t>
      </w:r>
    </w:p>
    <w:p w:rsidR="00CD292D" w:rsidRDefault="00CD292D" w:rsidP="00CD292D">
      <w:pPr>
        <w:spacing w:after="120"/>
        <w:ind w:left="1202" w:hanging="1202"/>
        <w:rPr>
          <w:rFonts w:eastAsiaTheme="minorEastAsia"/>
        </w:rPr>
      </w:pPr>
      <w:r>
        <w:rPr>
          <w:rFonts w:eastAsia="Times New Roman"/>
          <w:shd w:val="clear" w:color="auto" w:fill="FFFF00"/>
        </w:rPr>
        <w:br w:type="page"/>
      </w:r>
      <w:r>
        <w:lastRenderedPageBreak/>
        <w:t>Tablica 5. Wymagania wobec asfaltów wielorodzajowych wg PN-EN 13924-2:2014-04/Ap1 i Ap2 [65a]</w:t>
      </w:r>
    </w:p>
    <w:tbl>
      <w:tblPr>
        <w:tblW w:w="9034" w:type="dxa"/>
        <w:tblCellMar>
          <w:left w:w="0" w:type="dxa"/>
          <w:right w:w="0" w:type="dxa"/>
        </w:tblCellMar>
        <w:tblLook w:val="04A0" w:firstRow="1" w:lastRow="0" w:firstColumn="1" w:lastColumn="0" w:noHBand="0" w:noVBand="1"/>
      </w:tblPr>
      <w:tblGrid>
        <w:gridCol w:w="658"/>
        <w:gridCol w:w="1555"/>
        <w:gridCol w:w="29"/>
        <w:gridCol w:w="901"/>
        <w:gridCol w:w="1828"/>
        <w:gridCol w:w="1126"/>
        <w:gridCol w:w="985"/>
        <w:gridCol w:w="985"/>
        <w:gridCol w:w="985"/>
      </w:tblGrid>
      <w:tr w:rsidR="00CD292D" w:rsidTr="00CD292D">
        <w:tc>
          <w:tcPr>
            <w:tcW w:w="6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Lp.</w:t>
            </w:r>
          </w:p>
        </w:tc>
        <w:tc>
          <w:tcPr>
            <w:tcW w:w="1594"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CD292D" w:rsidRDefault="00CD292D">
            <w:pPr>
              <w:spacing w:before="120"/>
              <w:jc w:val="center"/>
            </w:pPr>
            <w:r>
              <w:t>Właściwości</w:t>
            </w:r>
          </w:p>
        </w:tc>
        <w:tc>
          <w:tcPr>
            <w:tcW w:w="824" w:type="dxa"/>
            <w:vMerge w:val="restart"/>
            <w:tcBorders>
              <w:top w:val="single" w:sz="8" w:space="0" w:color="auto"/>
              <w:left w:val="single" w:sz="4" w:space="0" w:color="auto"/>
              <w:bottom w:val="single" w:sz="8" w:space="0" w:color="auto"/>
              <w:right w:val="single" w:sz="8" w:space="0" w:color="auto"/>
            </w:tcBorders>
            <w:vAlign w:val="center"/>
            <w:hideMark/>
          </w:tcPr>
          <w:p w:rsidR="00CD292D" w:rsidRDefault="00CD292D">
            <w:pPr>
              <w:spacing w:before="120"/>
              <w:jc w:val="center"/>
            </w:pPr>
            <w:r>
              <w:t>Jednostka</w:t>
            </w:r>
          </w:p>
        </w:tc>
        <w:tc>
          <w:tcPr>
            <w:tcW w:w="184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w:t>
            </w:r>
          </w:p>
          <w:p w:rsidR="00CD292D" w:rsidRDefault="00CD292D">
            <w:pPr>
              <w:jc w:val="center"/>
            </w:pPr>
            <w:r>
              <w:t>badania</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asfalt</w:t>
            </w:r>
          </w:p>
          <w:p w:rsidR="00CD292D" w:rsidRDefault="00CD292D">
            <w:pPr>
              <w:jc w:val="center"/>
            </w:pPr>
            <w:r>
              <w:t>MG 50/70-54/64</w:t>
            </w:r>
          </w:p>
        </w:tc>
        <w:tc>
          <w:tcPr>
            <w:tcW w:w="19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asfalt</w:t>
            </w:r>
          </w:p>
          <w:p w:rsidR="00CD292D" w:rsidRDefault="00CD292D">
            <w:pPr>
              <w:jc w:val="center"/>
            </w:pPr>
            <w:r>
              <w:t>MG 35/50-57/69</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gridSpan w:val="2"/>
            <w:vMerge/>
            <w:tcBorders>
              <w:top w:val="single" w:sz="8" w:space="0" w:color="auto"/>
              <w:left w:val="nil"/>
              <w:bottom w:val="single" w:sz="8" w:space="0" w:color="auto"/>
              <w:right w:val="single" w:sz="4"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Wyma-ganie</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1594"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CD292D" w:rsidRDefault="00CD292D">
            <w:r>
              <w:t>Penetracja w 25°C</w:t>
            </w:r>
          </w:p>
        </w:tc>
        <w:tc>
          <w:tcPr>
            <w:tcW w:w="82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0,1 mm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50÷70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35÷50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3</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54÷64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57÷69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Indeks penetracji</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13924-2 [65]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3</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zapłonu</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ISO 2592 [70]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4</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Rozpuszczal-ność</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12592 [24]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łamliwości Fraassa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12593 [25]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4</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dynamiczna w 60°C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Pa∙s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12596 [27]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≥900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≥1500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5</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Lepkość kinematyczna w 135°C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mm</w:t>
            </w:r>
            <w:r>
              <w:rPr>
                <w:vertAlign w:val="superscript"/>
              </w:rPr>
              <w:t>2</w:t>
            </w:r>
            <w:r>
              <w:t>/s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12595 [26]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Brak wyma-gań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brak wyma-gań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 </w:t>
            </w:r>
          </w:p>
          <w:p w:rsidR="00CD292D" w:rsidRDefault="00CD292D">
            <w:pPr>
              <w:spacing w:before="60" w:after="60"/>
              <w:jc w:val="center"/>
            </w:pPr>
            <w:r>
              <w:t>0</w:t>
            </w:r>
          </w:p>
        </w:tc>
      </w:tr>
      <w:tr w:rsidR="00CD292D" w:rsidTr="00CD292D">
        <w:tc>
          <w:tcPr>
            <w:tcW w:w="9034"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po starzeniu</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Pozostała penetracja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≥60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3</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Wzrost temp. mięknienia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3</w:t>
            </w:r>
          </w:p>
        </w:tc>
      </w:tr>
      <w:tr w:rsidR="00CD292D" w:rsidTr="00CD292D">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Zmiana masy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12607-1 [29]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w:t>
            </w:r>
          </w:p>
        </w:tc>
      </w:tr>
    </w:tbl>
    <w:p w:rsidR="00CD292D" w:rsidRDefault="00CD292D" w:rsidP="00CD292D">
      <w:pPr>
        <w:rPr>
          <w:rFonts w:eastAsiaTheme="minorEastAsia"/>
        </w:rPr>
      </w:pPr>
    </w:p>
    <w:p w:rsidR="00CD292D" w:rsidRDefault="00CD292D" w:rsidP="00CD292D">
      <w:pPr>
        <w:ind w:firstLine="709"/>
      </w:pPr>
      <w: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rsidR="00CD292D" w:rsidRDefault="00CD292D" w:rsidP="00CD292D">
      <w:r>
        <w:lastRenderedPageBreak/>
        <w:t>            Polimeroasfalt powinien być magazynowany w zbiorniku wyposażonym w system grzewczy pośredni z termostatem kontrolującym temperaturę z dokładnością  ± 5°C.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CD292D" w:rsidRDefault="00CD292D" w:rsidP="00CD292D">
      <w:pPr>
        <w:ind w:firstLine="709"/>
      </w:pPr>
      <w:r>
        <w:t xml:space="preserve">Temperatura lepiszcza asfaltowego w zbiorniku magazynowym (roboczym) nie powinna przekraczać w okresie krótkotrwałym, nie dłuższym niż 5 dni,  poniższych wartości: </w:t>
      </w:r>
    </w:p>
    <w:p w:rsidR="00CD292D" w:rsidRDefault="00CD292D" w:rsidP="00CD292D">
      <w:pPr>
        <w:ind w:left="454" w:hanging="397"/>
      </w:pPr>
      <w:r>
        <w:t>–</w:t>
      </w:r>
      <w:r>
        <w:rPr>
          <w:sz w:val="14"/>
          <w:szCs w:val="14"/>
        </w:rPr>
        <w:t xml:space="preserve">         </w:t>
      </w:r>
      <w:r>
        <w:t>asfaltu drogowego 35/50: 190°C,</w:t>
      </w:r>
    </w:p>
    <w:p w:rsidR="00CD292D" w:rsidRDefault="00CD292D" w:rsidP="00CD292D">
      <w:pPr>
        <w:ind w:left="454" w:hanging="397"/>
      </w:pPr>
      <w:r>
        <w:t>–</w:t>
      </w:r>
      <w:r>
        <w:rPr>
          <w:sz w:val="14"/>
          <w:szCs w:val="14"/>
        </w:rPr>
        <w:t xml:space="preserve">         </w:t>
      </w:r>
      <w:r>
        <w:t>asfaltu drogowego 50/70: 180°C,</w:t>
      </w:r>
    </w:p>
    <w:p w:rsidR="00CD292D" w:rsidRDefault="00CD292D" w:rsidP="00CD292D">
      <w:pPr>
        <w:ind w:left="454" w:hanging="397"/>
      </w:pPr>
      <w:r>
        <w:t>–</w:t>
      </w:r>
      <w:r>
        <w:rPr>
          <w:sz w:val="14"/>
          <w:szCs w:val="14"/>
        </w:rPr>
        <w:t xml:space="preserve">         </w:t>
      </w:r>
      <w:r>
        <w:t> polimeroasfaltu: wg wskazań producenta,</w:t>
      </w:r>
    </w:p>
    <w:p w:rsidR="00CD292D" w:rsidRDefault="00CD292D" w:rsidP="00CD292D">
      <w:pPr>
        <w:ind w:left="454" w:hanging="397"/>
      </w:pPr>
      <w:r>
        <w:t>–</w:t>
      </w:r>
      <w:r>
        <w:rPr>
          <w:sz w:val="14"/>
          <w:szCs w:val="14"/>
        </w:rPr>
        <w:t xml:space="preserve">         </w:t>
      </w:r>
      <w:r>
        <w:t>asfaltu drogowego wielorodzajowego: wg wskazań producenta.</w:t>
      </w:r>
    </w:p>
    <w:p w:rsidR="00CD292D" w:rsidRDefault="00CD292D" w:rsidP="00CD292D">
      <w:pPr>
        <w:ind w:firstLine="709"/>
      </w:pPr>
      <w:r>
        <w:t>W celu ograniczenia ilości emisji gazów cieplarnianych oraz obniżenia temperatury mieszania składników i poprawienia urabialności mieszanki mineralno-asfaltowej dopuszcza się zastosowanie asfaltu spienionego.</w:t>
      </w:r>
    </w:p>
    <w:p w:rsidR="00CD292D" w:rsidRDefault="00CD292D" w:rsidP="00CD292D">
      <w:pPr>
        <w:pStyle w:val="Nagwek2"/>
        <w:rPr>
          <w:rFonts w:eastAsia="Times New Roman"/>
        </w:rPr>
      </w:pPr>
      <w:r>
        <w:rPr>
          <w:rFonts w:eastAsia="Times New Roman"/>
        </w:rPr>
        <w:t xml:space="preserve">2.4. Kruszywo </w:t>
      </w:r>
    </w:p>
    <w:p w:rsidR="00CD292D" w:rsidRDefault="00CD292D" w:rsidP="00CD292D">
      <w:pPr>
        <w:rPr>
          <w:rFonts w:eastAsiaTheme="minorEastAsia"/>
        </w:rPr>
      </w:pPr>
      <w:r>
        <w:t xml:space="preserve">            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CD292D" w:rsidRDefault="00CD292D" w:rsidP="00CD292D">
      <w:pPr>
        <w:ind w:firstLine="709"/>
      </w:pPr>
      <w:r>
        <w:t>Jeżeli stosowana jest mieszanka kruszywa drobnego niełamanego i łamanego, to należy przyjąć proporcje kruszywa łamanego do niełamanego co najmniej 50/50.</w:t>
      </w:r>
    </w:p>
    <w:p w:rsidR="00CD292D" w:rsidRDefault="00CD292D" w:rsidP="00CD292D">
      <w:pPr>
        <w:ind w:firstLine="709"/>
      </w:pPr>
      <w:r>
        <w:t xml:space="preserve">Wymagania dla kruszyw według WT-1 Kruszywa 2014 [81]  są podane w tablicach poniżej. </w:t>
      </w:r>
    </w:p>
    <w:p w:rsidR="00CD292D" w:rsidRDefault="00CD292D" w:rsidP="00CD292D">
      <w:pPr>
        <w:ind w:left="240" w:hanging="240"/>
      </w:pPr>
      <w:r>
        <w:t>a) Kruszywo grube do warstwy wiążącej i wyrównawczej z betonu asfaltowego powinno spełniać wymagania podane w tablicy 6.</w:t>
      </w:r>
    </w:p>
    <w:p w:rsidR="00CD292D" w:rsidRDefault="00CD292D" w:rsidP="00CD292D">
      <w:pPr>
        <w:spacing w:before="120" w:after="120"/>
        <w:ind w:left="1134" w:hanging="1134"/>
      </w:pPr>
      <w:r>
        <w:t>Tablica 6.    Wymagane właściwości kruszywa grubego do warstwy wiążącej i wyrównawczej  z betonu asfaltowego</w:t>
      </w:r>
    </w:p>
    <w:tbl>
      <w:tblPr>
        <w:tblW w:w="9523" w:type="dxa"/>
        <w:tblInd w:w="108" w:type="dxa"/>
        <w:tblCellMar>
          <w:left w:w="0" w:type="dxa"/>
          <w:right w:w="0" w:type="dxa"/>
        </w:tblCellMar>
        <w:tblLook w:val="04A0" w:firstRow="1" w:lastRow="0" w:firstColumn="1" w:lastColumn="0" w:noHBand="0" w:noVBand="1"/>
      </w:tblPr>
      <w:tblGrid>
        <w:gridCol w:w="798"/>
        <w:gridCol w:w="3785"/>
        <w:gridCol w:w="1790"/>
        <w:gridCol w:w="1591"/>
        <w:gridCol w:w="1559"/>
      </w:tblGrid>
      <w:tr w:rsidR="00CD292D" w:rsidTr="00CD292D">
        <w:tc>
          <w:tcPr>
            <w:tcW w:w="7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spacing w:before="60" w:after="60"/>
              <w:jc w:val="center"/>
            </w:pPr>
            <w:r>
              <w:t>Lp.</w:t>
            </w:r>
          </w:p>
        </w:tc>
        <w:tc>
          <w:tcPr>
            <w:tcW w:w="3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Właściwości kruszywa</w:t>
            </w: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KR1÷KR2</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KR3÷KR4</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ind w:right="12"/>
              <w:jc w:val="center"/>
            </w:pPr>
            <w:r>
              <w:t>KR5÷KR7</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Uziarnienie według PN-EN 933-1[6];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85/20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90/20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C</w:t>
            </w:r>
            <w:r>
              <w:t>90/20</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Tolerancja uziarnienia; odchylenia nie większe niż według kategorii:</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w:t>
            </w:r>
            <w:r>
              <w:rPr>
                <w:vertAlign w:val="subscript"/>
              </w:rPr>
              <w:t>25/15</w:t>
            </w:r>
          </w:p>
          <w:p w:rsidR="00CD292D" w:rsidRDefault="00CD292D">
            <w:pPr>
              <w:jc w:val="center"/>
            </w:pPr>
            <w:r>
              <w:t>G</w:t>
            </w:r>
            <w:r>
              <w:rPr>
                <w:vertAlign w:val="subscript"/>
              </w:rPr>
              <w:t>20/15</w:t>
            </w:r>
          </w:p>
          <w:p w:rsidR="00CD292D" w:rsidRDefault="00CD292D">
            <w:pPr>
              <w:jc w:val="center"/>
            </w:pPr>
            <w:r>
              <w:t>G</w:t>
            </w:r>
            <w:r>
              <w:rPr>
                <w:vertAlign w:val="subscript"/>
              </w:rPr>
              <w:t>20/17,5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w:t>
            </w:r>
            <w:r>
              <w:rPr>
                <w:vertAlign w:val="subscript"/>
              </w:rPr>
              <w:t>25/15</w:t>
            </w:r>
          </w:p>
          <w:p w:rsidR="00CD292D" w:rsidRDefault="00CD292D">
            <w:pPr>
              <w:jc w:val="center"/>
            </w:pPr>
            <w:r>
              <w:t>G</w:t>
            </w:r>
            <w:r>
              <w:rPr>
                <w:vertAlign w:val="subscript"/>
              </w:rPr>
              <w:t>20/15</w:t>
            </w:r>
          </w:p>
          <w:p w:rsidR="00CD292D" w:rsidRDefault="00CD292D">
            <w:pPr>
              <w:jc w:val="center"/>
            </w:pPr>
            <w:r>
              <w:t>G</w:t>
            </w:r>
            <w:r>
              <w:rPr>
                <w:vertAlign w:val="subscript"/>
              </w:rPr>
              <w:t>20/17,5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25/15</w:t>
            </w:r>
          </w:p>
          <w:p w:rsidR="00CD292D" w:rsidRDefault="00CD292D">
            <w:pPr>
              <w:jc w:val="center"/>
            </w:pPr>
            <w:r>
              <w:t>G</w:t>
            </w:r>
            <w:r>
              <w:rPr>
                <w:vertAlign w:val="subscript"/>
              </w:rPr>
              <w:t>20/15</w:t>
            </w:r>
          </w:p>
          <w:p w:rsidR="00CD292D" w:rsidRDefault="00CD292D">
            <w:pPr>
              <w:jc w:val="center"/>
            </w:pPr>
            <w:r>
              <w:t>G</w:t>
            </w:r>
            <w:r>
              <w:rPr>
                <w:vertAlign w:val="subscript"/>
              </w:rPr>
              <w:t>20/17,5</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pyłu według PN-EN 933-1 [6];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i/>
                <w:iCs/>
              </w:rPr>
              <w:t>f</w:t>
            </w:r>
            <w:r>
              <w:rPr>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i/>
                <w:iCs/>
              </w:rPr>
              <w:t>f</w:t>
            </w:r>
            <w:r>
              <w:rPr>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w:t>
            </w:r>
            <w:r>
              <w:rPr>
                <w:vertAlign w:val="subscript"/>
              </w:rPr>
              <w:t>2</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Kształt kruszywa według PN-EN 933-3 [7] lub według PN-EN 933-4 [8];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FI</w:t>
            </w:r>
            <w:r>
              <w:rPr>
                <w:i/>
                <w:iCs/>
                <w:vertAlign w:val="subscript"/>
              </w:rPr>
              <w:t>35</w:t>
            </w:r>
            <w:r>
              <w:t xml:space="preserve"> lub </w:t>
            </w:r>
            <w:r>
              <w:rPr>
                <w:i/>
                <w:iCs/>
              </w:rPr>
              <w:t>SI</w:t>
            </w:r>
            <w:r>
              <w:rPr>
                <w:i/>
                <w:iCs/>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FI</w:t>
            </w:r>
            <w:r>
              <w:rPr>
                <w:i/>
                <w:iCs/>
                <w:vertAlign w:val="subscript"/>
              </w:rPr>
              <w:t>25</w:t>
            </w:r>
            <w:r>
              <w:t xml:space="preserve"> lub </w:t>
            </w:r>
            <w:r>
              <w:rPr>
                <w:i/>
                <w:iCs/>
              </w:rPr>
              <w:t>SI</w:t>
            </w:r>
            <w:r>
              <w:rPr>
                <w:i/>
                <w:iCs/>
                <w:vertAlign w:val="subscript"/>
              </w:rPr>
              <w:t>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FI</w:t>
            </w:r>
            <w:r>
              <w:rPr>
                <w:i/>
                <w:iCs/>
                <w:vertAlign w:val="subscript"/>
              </w:rPr>
              <w:t>25</w:t>
            </w:r>
            <w:r>
              <w:t xml:space="preserve"> lub </w:t>
            </w:r>
            <w:r>
              <w:rPr>
                <w:i/>
                <w:iCs/>
              </w:rPr>
              <w:t>SI</w:t>
            </w:r>
            <w:r>
              <w:rPr>
                <w:i/>
                <w:iCs/>
                <w:vertAlign w:val="subscript"/>
              </w:rPr>
              <w:t>25</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Procentowa zawartość ziaren o powierzchni przekruszonej i łamanej w kruszywie grubym według PN-EN 933-5 [9];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C</w:t>
            </w:r>
            <w:r>
              <w:rPr>
                <w:i/>
                <w:iCs/>
                <w:vertAlign w:val="subscript"/>
              </w:rPr>
              <w:t>deklarowana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C</w:t>
            </w:r>
            <w:r>
              <w:rPr>
                <w:i/>
                <w:iCs/>
                <w:vertAlign w:val="subscript"/>
              </w:rPr>
              <w:t>50</w:t>
            </w:r>
            <w:r>
              <w:rPr>
                <w:vertAlign w:val="subscript"/>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C</w:t>
            </w:r>
            <w:r>
              <w:rPr>
                <w:i/>
                <w:iCs/>
                <w:vertAlign w:val="subscript"/>
              </w:rPr>
              <w:t>50</w:t>
            </w:r>
            <w:r>
              <w:rPr>
                <w:vertAlign w:val="subscript"/>
              </w:rPr>
              <w:t>/10</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kruszywa na rozdrabnianie według normy PN-EN 1097-2[13], badana na kruszywie o wymiarze 10/14, rozdział 5,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LA</w:t>
            </w:r>
            <w:r>
              <w:rPr>
                <w:i/>
                <w:iCs/>
                <w:vertAlign w:val="subscript"/>
              </w:rPr>
              <w:t>40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LA</w:t>
            </w:r>
            <w:r>
              <w:rPr>
                <w:i/>
                <w:iCs/>
                <w:vertAlign w:val="subscript"/>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LA</w:t>
            </w:r>
            <w:r>
              <w:rPr>
                <w:vertAlign w:val="subscript"/>
              </w:rPr>
              <w:t>30</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7</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Gęstość ziaren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8</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Nasiąkliwość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Mrozoodporność według PN-EN 1367-1 [18], badana na kruszywie 8/11, 11/16 lub 8/16;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w:t>
            </w:r>
            <w:r>
              <w:rPr>
                <w:i/>
                <w:iCs/>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w:t>
            </w:r>
            <w:r>
              <w:rPr>
                <w:i/>
                <w:iCs/>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F</w:t>
            </w:r>
            <w:r>
              <w:rPr>
                <w:i/>
                <w:iCs/>
                <w:vertAlign w:val="subscript"/>
              </w:rPr>
              <w:t>2</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„Zgorzel słoneczna” bazaltu według </w:t>
            </w:r>
            <w:r>
              <w:br/>
              <w:t>PN-EN 1367-3 [19]; wymagana kategoria:</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SB</w:t>
            </w:r>
            <w:r>
              <w:rPr>
                <w:vertAlign w:val="subscript"/>
              </w:rPr>
              <w:t>LA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SB</w:t>
            </w:r>
            <w:r>
              <w:rPr>
                <w:vertAlign w:val="subscript"/>
              </w:rPr>
              <w:t>LA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SB</w:t>
            </w:r>
            <w:r>
              <w:rPr>
                <w:vertAlign w:val="subscript"/>
              </w:rPr>
              <w:t>LA</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Skład chemiczny – uproszczony opis petrograficzny według PN-EN 932-3 [5]</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deklarowany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deklarowany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deklarowany przez producenta</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Grube zanieczyszczenia lekkie według PN-EN 1744-1 [22], p. 14.2;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 xml:space="preserve"> 0,1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 xml:space="preserve"> 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 xml:space="preserve"> 0,1</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Rozpad krzemianowy żużla wielko-piecowego chłodzonego powietrzem według PN-EN 1744-1 [22], p. 19.1:</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wymagana odporność</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Rozpad żelazowy żużla wielko-piecowego chłodzonego powietrzem według PN-EN 1744-1[22], p. 19.2:</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wymagana odporność</w:t>
            </w:r>
          </w:p>
        </w:tc>
      </w:tr>
      <w:tr w:rsidR="00CD292D" w:rsidTr="00CD292D">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Stałość objętości kruszywa z żużla stalowniczego według PN-EN 1744-1 [22], p. 19.3;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3,5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3,5</w:t>
            </w:r>
          </w:p>
        </w:tc>
      </w:tr>
    </w:tbl>
    <w:p w:rsidR="00CD292D" w:rsidRDefault="00CD292D" w:rsidP="00CD292D">
      <w:pPr>
        <w:rPr>
          <w:rFonts w:eastAsiaTheme="minorEastAsia"/>
        </w:rPr>
      </w:pPr>
      <w:r>
        <w:t> </w:t>
      </w:r>
    </w:p>
    <w:p w:rsidR="00CD292D" w:rsidRDefault="00CD292D" w:rsidP="00CD292D">
      <w:r>
        <w:lastRenderedPageBreak/>
        <w:t xml:space="preserve">b) kruszywo niełamane drobne lub o ciągłym uziarnieniu do D≤8  do warstwy wiążącej i wyrównawczej  z betonu asfaltowego  powinno spełniać wymagania podane w tablicy  7. </w:t>
      </w:r>
    </w:p>
    <w:p w:rsidR="00CD292D" w:rsidRDefault="00CD292D" w:rsidP="00CD292D">
      <w:pPr>
        <w:spacing w:before="120" w:after="120"/>
      </w:pPr>
      <w:r>
        <w:t>Tablica 7. Wymagane właściwości kruszywa niełamanego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897"/>
        <w:gridCol w:w="1293"/>
        <w:gridCol w:w="1065"/>
        <w:gridCol w:w="6"/>
        <w:gridCol w:w="1070"/>
      </w:tblGrid>
      <w:tr w:rsidR="00CD292D" w:rsidTr="00CD292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489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Właściwości kruszywa</w:t>
            </w:r>
          </w:p>
        </w:tc>
        <w:tc>
          <w:tcPr>
            <w:tcW w:w="34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Wymagania w zależności</w:t>
            </w:r>
          </w:p>
          <w:p w:rsidR="00CD292D" w:rsidRDefault="00CD292D">
            <w:pPr>
              <w:jc w:val="center"/>
            </w:pPr>
            <w:r>
              <w:t>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KR1 </w:t>
            </w:r>
            <w:r>
              <w:rPr>
                <w:rFonts w:ascii="Symbol" w:hAnsi="Symbol"/>
              </w:rPr>
              <w:t></w:t>
            </w:r>
            <w:r>
              <w:t xml:space="preserve">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KR3 </w:t>
            </w:r>
            <w:r>
              <w:rPr>
                <w:rFonts w:ascii="Symbol" w:hAnsi="Symbol"/>
              </w:rPr>
              <w:t></w:t>
            </w:r>
            <w:r>
              <w:t xml:space="preserve">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KR5 </w:t>
            </w:r>
            <w:r>
              <w:rPr>
                <w:rFonts w:ascii="Symbol" w:hAnsi="Symbol"/>
              </w:rPr>
              <w:t></w:t>
            </w:r>
            <w:r>
              <w:t xml:space="preserve"> KR7</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1</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 według PN-EN 933-1 [6], wymagana kategoria:</w:t>
            </w:r>
          </w:p>
        </w:tc>
        <w:tc>
          <w:tcPr>
            <w:tcW w:w="23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F</w:t>
            </w:r>
            <w:r>
              <w:t>85 lub G</w:t>
            </w:r>
            <w:r>
              <w:rPr>
                <w:vertAlign w:val="subscript"/>
              </w:rPr>
              <w:t>A</w:t>
            </w:r>
            <w:r>
              <w:t>85</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F</w:t>
            </w:r>
            <w:r>
              <w:t>85</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2</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Tolerancja uziarnienia; odchylenie nie większe niż według kategorii:</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w:t>
            </w:r>
            <w:r>
              <w:rPr>
                <w:vertAlign w:val="subscript"/>
              </w:rPr>
              <w:t>TC</w:t>
            </w:r>
            <w: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TC</w:t>
            </w:r>
            <w: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w:t>
            </w:r>
            <w:r>
              <w:rPr>
                <w:vertAlign w:val="subscript"/>
              </w:rPr>
              <w:t>TC</w:t>
            </w:r>
            <w:r>
              <w:t>20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3</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pyłów według PN-EN 933-1 [6],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Symbol" w:hAnsi="Symbol"/>
              </w:rPr>
              <w:t></w:t>
            </w:r>
            <w:r>
              <w:rPr>
                <w:vertAlign w:val="subscript"/>
              </w:rPr>
              <w:t>3</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4</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MB</w:t>
            </w:r>
            <w:r>
              <w:rPr>
                <w:vertAlign w:val="subscript"/>
              </w:rPr>
              <w:t>F</w:t>
            </w:r>
            <w:r>
              <w:t>10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5</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Kanciastość kruszywa drobnego według PN-EN 933-6 [10], rozdz. 8, kategoria nie niższa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E</w:t>
            </w:r>
            <w:r>
              <w:rPr>
                <w:vertAlign w:val="subscript"/>
              </w:rPr>
              <w:t>csDeklarowana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6</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7</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Nasiąkliwość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8</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Grube zanieczyszczenia lekkie, według PN-EN 1744-1 [22], p. 14.2,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mLPC0,1</w:t>
            </w:r>
          </w:p>
        </w:tc>
      </w:tr>
    </w:tbl>
    <w:p w:rsidR="00CD292D" w:rsidRDefault="00CD292D" w:rsidP="00CD292D">
      <w:pPr>
        <w:rPr>
          <w:rFonts w:eastAsiaTheme="minorEastAsia"/>
        </w:rPr>
      </w:pPr>
    </w:p>
    <w:p w:rsidR="00CD292D" w:rsidRDefault="00CD292D" w:rsidP="00CD292D">
      <w:r>
        <w:t xml:space="preserve">c) kruszywo łamane drobne lub o ciągłym uziarnieniu do D≤8  do warstwy wiążącej i wyrównawczej  z betonu asfaltowego  powinno spełniać wymagania podane w tablicy  8. </w:t>
      </w:r>
    </w:p>
    <w:p w:rsidR="00CD292D" w:rsidRDefault="00CD292D" w:rsidP="00CD292D">
      <w:pPr>
        <w:spacing w:before="120" w:after="120"/>
      </w:pPr>
      <w:r>
        <w:t>Tablica 8. Wymagane właściwości kruszywa 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953"/>
        <w:gridCol w:w="1284"/>
        <w:gridCol w:w="1018"/>
        <w:gridCol w:w="916"/>
      </w:tblGrid>
      <w:tr w:rsidR="00CD292D" w:rsidTr="00CD292D">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Lp.</w:t>
            </w:r>
          </w:p>
        </w:tc>
        <w:tc>
          <w:tcPr>
            <w:tcW w:w="49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Właściwości kruszywa</w:t>
            </w:r>
          </w:p>
        </w:tc>
        <w:tc>
          <w:tcPr>
            <w:tcW w:w="32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Wymagania w zależności 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KR1 </w:t>
            </w:r>
            <w:r>
              <w:rPr>
                <w:rFonts w:ascii="Symbol" w:hAnsi="Symbol"/>
              </w:rPr>
              <w:t></w:t>
            </w:r>
            <w:r>
              <w:t xml:space="preserve"> KR2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KR3 </w:t>
            </w:r>
            <w:r>
              <w:rPr>
                <w:rFonts w:ascii="Symbol" w:hAnsi="Symbol"/>
              </w:rPr>
              <w:t></w:t>
            </w:r>
            <w:r>
              <w:t xml:space="preserve"> KR4</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KR5 </w:t>
            </w:r>
            <w:r>
              <w:rPr>
                <w:rFonts w:ascii="Symbol" w:hAnsi="Symbol"/>
              </w:rPr>
              <w:t></w:t>
            </w:r>
            <w:r>
              <w:t xml:space="preserve"> KR7</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 według PN-EN 933-1 [6], wymagana kategoria:</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F</w:t>
            </w:r>
            <w:r>
              <w:t>85 lub G</w:t>
            </w:r>
            <w:r>
              <w:rPr>
                <w:vertAlign w:val="subscript"/>
              </w:rPr>
              <w:t>A</w:t>
            </w:r>
            <w:r>
              <w:t>85</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2</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Tolerancja uziarnienia; odchylenie nie większe niż według kategorii:</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TC</w:t>
            </w:r>
            <w:r>
              <w:t>NR</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G</w:t>
            </w:r>
            <w:r>
              <w:rPr>
                <w:vertAlign w:val="subscript"/>
              </w:rPr>
              <w:t>TC</w:t>
            </w:r>
            <w:r>
              <w:t>20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G</w:t>
            </w:r>
            <w:r>
              <w:rPr>
                <w:vertAlign w:val="subscript"/>
              </w:rPr>
              <w:t>TC</w:t>
            </w:r>
            <w:r>
              <w:t>20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pyłów według PN-EN 933-1 [6],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Symbol" w:hAnsi="Symbol"/>
              </w:rPr>
              <w:t></w:t>
            </w:r>
            <w:r>
              <w:rPr>
                <w:vertAlign w:val="subscript"/>
              </w:rPr>
              <w:t>16</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MB</w:t>
            </w:r>
            <w:r>
              <w:rPr>
                <w:vertAlign w:val="subscript"/>
              </w:rPr>
              <w:t>F</w:t>
            </w:r>
            <w:r>
              <w:t>10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Kanciastość kruszywa drobnego według PN-EN 933-6 [10], rozdz. 8, kategoria nie niższa niż:</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w:t>
            </w:r>
            <w:r>
              <w:rPr>
                <w:vertAlign w:val="subscript"/>
              </w:rPr>
              <w:t>cs</w:t>
            </w:r>
            <w:r>
              <w:t>Dekla-rowana</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w:t>
            </w:r>
            <w:r>
              <w:rPr>
                <w:vertAlign w:val="subscript"/>
              </w:rPr>
              <w:t>CS</w:t>
            </w:r>
            <w:r>
              <w:t>30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w:t>
            </w:r>
            <w:r>
              <w:rPr>
                <w:vertAlign w:val="subscript"/>
              </w:rPr>
              <w:t>CS</w:t>
            </w:r>
            <w:r>
              <w:t>30</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 ziaren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Nasiąkliwość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deklarowana przez producenta</w:t>
            </w:r>
          </w:p>
        </w:tc>
      </w:tr>
      <w:tr w:rsidR="00CD292D" w:rsidTr="00CD292D">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Grube zanieczyszczenia lekkie, według PN-EN 1744-1 [22], p. 14.2,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m</w:t>
            </w:r>
            <w:r>
              <w:rPr>
                <w:vertAlign w:val="subscript"/>
              </w:rPr>
              <w:t>LPC</w:t>
            </w:r>
            <w:r>
              <w:t>0,1</w:t>
            </w:r>
          </w:p>
        </w:tc>
      </w:tr>
    </w:tbl>
    <w:p w:rsidR="00CD292D" w:rsidRDefault="00CD292D" w:rsidP="00CD292D">
      <w:pPr>
        <w:rPr>
          <w:rFonts w:eastAsiaTheme="minorEastAsia"/>
        </w:rPr>
      </w:pPr>
      <w:r>
        <w:t> </w:t>
      </w:r>
    </w:p>
    <w:p w:rsidR="00CD292D" w:rsidRDefault="00CD292D" w:rsidP="00CD292D">
      <w:pPr>
        <w:ind w:left="360" w:right="-57" w:hanging="360"/>
      </w:pPr>
      <w:r>
        <w:t>d)  do warstwy wiążącej i wyrównawczej z betonu asfaltowego, w zależności od kategorii ruchu,  należy stosować wypełniacz spełniający wymagania podane w tablicy 9.</w:t>
      </w:r>
    </w:p>
    <w:p w:rsidR="00CD292D" w:rsidRDefault="00CD292D" w:rsidP="00CD292D">
      <w:pPr>
        <w:spacing w:before="120" w:after="120"/>
        <w:ind w:left="1202" w:hanging="1202"/>
      </w:pPr>
      <w:r>
        <w:t>Tablica 9. Wymagane właściwości wypełniacza*) do warstwy wiążącej i wyrównawczej z betonu asfaltowego</w:t>
      </w:r>
    </w:p>
    <w:tbl>
      <w:tblPr>
        <w:tblW w:w="0" w:type="auto"/>
        <w:tblCellMar>
          <w:left w:w="0" w:type="dxa"/>
          <w:right w:w="0" w:type="dxa"/>
        </w:tblCellMar>
        <w:tblLook w:val="04A0" w:firstRow="1" w:lastRow="0" w:firstColumn="1" w:lastColumn="0" w:noHBand="0" w:noVBand="1"/>
      </w:tblPr>
      <w:tblGrid>
        <w:gridCol w:w="4908"/>
        <w:gridCol w:w="1336"/>
        <w:gridCol w:w="1336"/>
        <w:gridCol w:w="1336"/>
      </w:tblGrid>
      <w:tr w:rsidR="00CD292D" w:rsidTr="00CD292D">
        <w:tc>
          <w:tcPr>
            <w:tcW w:w="49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jc w:val="center"/>
            </w:pPr>
            <w:r>
              <w:t>Właściwości kruszywa</w:t>
            </w:r>
          </w:p>
        </w:tc>
        <w:tc>
          <w:tcPr>
            <w:tcW w:w="400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Wymagania w zależności</w:t>
            </w:r>
          </w:p>
          <w:p w:rsidR="00CD292D" w:rsidRDefault="00CD292D">
            <w:pPr>
              <w:jc w:val="center"/>
            </w:pPr>
            <w:r>
              <w:t>od kategorii ruchu</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KR1 </w:t>
            </w:r>
            <w:r>
              <w:rPr>
                <w:rFonts w:ascii="Symbol" w:hAnsi="Symbol"/>
              </w:rPr>
              <w:t></w:t>
            </w:r>
            <w:r>
              <w:t xml:space="preserve"> KR2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KR3 </w:t>
            </w:r>
            <w:r>
              <w:rPr>
                <w:rFonts w:ascii="Symbol" w:hAnsi="Symbol"/>
              </w:rPr>
              <w:t></w:t>
            </w:r>
            <w:r>
              <w:t xml:space="preserve"> KR4</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KR5 </w:t>
            </w:r>
            <w:r>
              <w:rPr>
                <w:rFonts w:ascii="Symbol" w:hAnsi="Symbol"/>
              </w:rPr>
              <w:t></w:t>
            </w:r>
            <w:r>
              <w:t xml:space="preserve"> KR7</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Uziarnienie według PN-EN 933-10 [12]</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zgodnie z tablicą 24 </w:t>
            </w:r>
          </w:p>
          <w:p w:rsidR="00CD292D" w:rsidRDefault="00CD292D">
            <w:pPr>
              <w:jc w:val="center"/>
            </w:pPr>
            <w:r>
              <w:t>wg PN-EN 13043 [50]</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Jakość pyłów według PN-EN 933-9 [11];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MB</w:t>
            </w:r>
            <w:r>
              <w:rPr>
                <w:vertAlign w:val="subscript"/>
              </w:rPr>
              <w:t>F</w:t>
            </w:r>
            <w:r>
              <w:t>10</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wody według PN-EN 1097-5 [15],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1 % (m/m)</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Gęstość ziaren według PN-EN 1097-6 [16]</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deklarowana przez producenta</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Wolne przestrzenie w suchym, zagęszczonym wypełniaczu według PN-EN 1097-4 [14],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V</w:t>
            </w:r>
            <w:r>
              <w:rPr>
                <w:vertAlign w:val="subscript"/>
              </w:rPr>
              <w:t>28/45</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Przyrost temperatury mięknienia według PN-EN 13179-1 [56],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rFonts w:ascii="Symbol" w:hAnsi="Symbol"/>
              </w:rPr>
              <w:t></w:t>
            </w:r>
            <w:r>
              <w:rPr>
                <w:vertAlign w:val="subscript"/>
              </w:rPr>
              <w:t>R&amp;B</w:t>
            </w:r>
            <w:r>
              <w:t>8/25</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Rozpuszczalność w wodzie według PN-EN 1744-1 [22],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WS</w:t>
            </w:r>
            <w:r>
              <w:rPr>
                <w:vertAlign w:val="subscript"/>
              </w:rPr>
              <w:t>10</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CaCO</w:t>
            </w:r>
            <w:r>
              <w:rPr>
                <w:vertAlign w:val="subscript"/>
              </w:rPr>
              <w:t>3</w:t>
            </w:r>
            <w:r>
              <w:t xml:space="preserve"> w wypełniaczu wapiennym według PN-EN 196-2 [3], kategoria nie niższa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CC</w:t>
            </w:r>
            <w:r>
              <w:rPr>
                <w:vertAlign w:val="subscript"/>
              </w:rPr>
              <w:t>70</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wodorotlenku wapnia w wypełniaczu mieszanym wg PN-EN 459-2 [4],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w:t>
            </w:r>
            <w:r>
              <w:rPr>
                <w:vertAlign w:val="subscript"/>
              </w:rPr>
              <w:t>a</w:t>
            </w:r>
            <w:r>
              <w:t>Deklarowana</w:t>
            </w:r>
          </w:p>
        </w:tc>
      </w:tr>
      <w:tr w:rsidR="00CD292D" w:rsidTr="00CD292D">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„Liczba asfaltowa” według PN-EN 13179-2 [57],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BN</w:t>
            </w:r>
            <w:r>
              <w:rPr>
                <w:vertAlign w:val="subscript"/>
              </w:rPr>
              <w:t>Deklarowana</w:t>
            </w:r>
          </w:p>
        </w:tc>
      </w:tr>
    </w:tbl>
    <w:p w:rsidR="00CD292D" w:rsidRDefault="00CD292D" w:rsidP="00CD292D">
      <w:pPr>
        <w:rPr>
          <w:rFonts w:eastAsiaTheme="minorEastAsia"/>
        </w:rPr>
      </w:pPr>
      <w:r>
        <w:t>*) Można stosować pyły z odpylania, pod warunkiem spełniania wymagań jak dla wypełniacza zgodnie z pktem 5 PN-EN 13043 [50]. Proporcja pyłów i wypełniacza wapiennego powinna być tak dobrana, aby kategoria zawartości CaCO</w:t>
      </w:r>
      <w:r>
        <w:rPr>
          <w:vertAlign w:val="subscript"/>
        </w:rPr>
        <w:t>3</w:t>
      </w:r>
      <w:r>
        <w:t xml:space="preserve"> w mieszance pyłów i wypełniacza wapiennego nie była niższa niż CC</w:t>
      </w:r>
      <w:r>
        <w:rPr>
          <w:vertAlign w:val="subscript"/>
        </w:rPr>
        <w:t>70</w:t>
      </w:r>
      <w:r>
        <w:t xml:space="preserve">. </w:t>
      </w:r>
    </w:p>
    <w:p w:rsidR="00CD292D" w:rsidRDefault="00CD292D" w:rsidP="00CD292D">
      <w:r>
        <w:t> </w:t>
      </w:r>
    </w:p>
    <w:p w:rsidR="00CD292D" w:rsidRDefault="00CD292D" w:rsidP="00CD292D">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CD292D" w:rsidRDefault="00CD292D" w:rsidP="00CD292D">
      <w:pPr>
        <w:pStyle w:val="Nagwek2"/>
        <w:rPr>
          <w:rFonts w:eastAsia="Times New Roman"/>
        </w:rPr>
      </w:pPr>
      <w:r>
        <w:rPr>
          <w:rFonts w:eastAsia="Times New Roman"/>
        </w:rPr>
        <w:t xml:space="preserve">2.5. Środek adhezyjny </w:t>
      </w:r>
    </w:p>
    <w:p w:rsidR="00CD292D" w:rsidRDefault="00CD292D" w:rsidP="00CD292D">
      <w:pPr>
        <w:rPr>
          <w:rFonts w:eastAsiaTheme="minorEastAsia"/>
        </w:rPr>
      </w:pPr>
      <w: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rsidR="00CD292D" w:rsidRDefault="00CD292D" w:rsidP="00CD292D">
      <w:r>
        <w:t>            Składowanie środka adhezyjnego jest dozwolone tylko w oryginalnych opakowaniach producenta.</w:t>
      </w:r>
    </w:p>
    <w:p w:rsidR="00CD292D" w:rsidRDefault="00CD292D" w:rsidP="00CD292D">
      <w:pPr>
        <w:pStyle w:val="Nagwek2"/>
        <w:rPr>
          <w:rFonts w:eastAsia="Times New Roman"/>
        </w:rPr>
      </w:pPr>
      <w:r>
        <w:t> </w:t>
      </w:r>
      <w:r>
        <w:rPr>
          <w:rFonts w:eastAsia="Times New Roman"/>
        </w:rPr>
        <w:t>2.6. Granulat asfaltowy</w:t>
      </w:r>
    </w:p>
    <w:p w:rsidR="00CD292D" w:rsidRDefault="00CD292D" w:rsidP="00CD292D">
      <w:pPr>
        <w:spacing w:after="120"/>
        <w:rPr>
          <w:rFonts w:eastAsiaTheme="minorEastAsia"/>
        </w:rPr>
      </w:pPr>
      <w:r>
        <w:rPr>
          <w:b/>
          <w:bCs/>
        </w:rPr>
        <w:t>2.6.1.</w:t>
      </w:r>
      <w:r>
        <w:t xml:space="preserve"> Właściwości granulatu asfaltowego</w:t>
      </w:r>
    </w:p>
    <w:p w:rsidR="00CD292D" w:rsidRDefault="00CD292D" w:rsidP="00CD292D">
      <w:pPr>
        <w:ind w:firstLine="709"/>
      </w:pPr>
      <w:r>
        <w:t xml:space="preserve">Granulat asfaltowy powinien spełniać wymagania podane w tablicy 10. </w:t>
      </w:r>
    </w:p>
    <w:p w:rsidR="00CD292D" w:rsidRDefault="00CD292D" w:rsidP="00CD292D">
      <w:pPr>
        <w:spacing w:before="120" w:after="120"/>
      </w:pPr>
      <w:r>
        <w:t>Tablica 10. Wymagania dotyczące granulatu asfaltowego</w:t>
      </w:r>
    </w:p>
    <w:tbl>
      <w:tblPr>
        <w:tblW w:w="0" w:type="auto"/>
        <w:tblCellMar>
          <w:left w:w="0" w:type="dxa"/>
          <w:right w:w="0" w:type="dxa"/>
        </w:tblCellMar>
        <w:tblLook w:val="04A0" w:firstRow="1" w:lastRow="0" w:firstColumn="1" w:lastColumn="0" w:noHBand="0" w:noVBand="1"/>
      </w:tblPr>
      <w:tblGrid>
        <w:gridCol w:w="2508"/>
        <w:gridCol w:w="756"/>
        <w:gridCol w:w="5604"/>
      </w:tblGrid>
      <w:tr w:rsidR="00CD292D" w:rsidTr="00CD292D">
        <w:tc>
          <w:tcPr>
            <w:tcW w:w="3264"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spacing w:before="60" w:after="60"/>
              <w:jc w:val="center"/>
            </w:pPr>
            <w:r>
              <w:t>Wymagania</w:t>
            </w:r>
          </w:p>
        </w:tc>
        <w:tc>
          <w:tcPr>
            <w:tcW w:w="560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ind w:right="-108"/>
              <w:jc w:val="center"/>
            </w:pPr>
            <w:r>
              <w:t>Warstwa wiążąca</w:t>
            </w:r>
          </w:p>
        </w:tc>
      </w:tr>
      <w:tr w:rsidR="00CD292D" w:rsidTr="00CD292D">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Zawartość minerałów obcych</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Kategoria FM</w:t>
            </w:r>
            <w:r>
              <w:rPr>
                <w:vertAlign w:val="subscript"/>
              </w:rPr>
              <w:t>1/01</w:t>
            </w:r>
          </w:p>
        </w:tc>
      </w:tr>
      <w:tr w:rsidR="00CD292D" w:rsidTr="00CD292D">
        <w:tc>
          <w:tcPr>
            <w:tcW w:w="250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Właściwości lepiszcza odzyskanego w granu-lacie asfaltowym</w:t>
            </w:r>
            <w:r>
              <w:rPr>
                <w:vertAlign w:val="superscript"/>
              </w:rPr>
              <w:t>a)</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PIK</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Kategoria S</w:t>
            </w:r>
            <w:r>
              <w:rPr>
                <w:vertAlign w:val="subscript"/>
              </w:rPr>
              <w:t>70</w:t>
            </w:r>
          </w:p>
          <w:p w:rsidR="00CD292D" w:rsidRDefault="00CD292D">
            <w:r>
              <w:t>Wartość średnia temperatury mięknienia nie może być wyższa niż 70°C. Pojedyncze wartości temperatury mięknienia nie mogą przekraczać 77°C</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Pen.</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Kategoria P</w:t>
            </w:r>
            <w:r>
              <w:rPr>
                <w:vertAlign w:val="subscript"/>
              </w:rPr>
              <w:t>15</w:t>
            </w:r>
          </w:p>
          <w:p w:rsidR="00CD292D" w:rsidRDefault="00CD292D">
            <w:r>
              <w:lastRenderedPageBreak/>
              <w:t>Wartość średnia nie może być mniejsza niż 15×0,1 mm. Pojedyncze wartości penetracji nie mogą być mniejsze niż 10 × 0,1 mm</w:t>
            </w:r>
          </w:p>
        </w:tc>
      </w:tr>
      <w:tr w:rsidR="00CD292D" w:rsidTr="00CD292D">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lastRenderedPageBreak/>
              <w:t>Jednorodność</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Wg tablicy 12</w:t>
            </w:r>
          </w:p>
        </w:tc>
      </w:tr>
      <w:tr w:rsidR="00CD292D" w:rsidTr="00CD292D">
        <w:tc>
          <w:tcPr>
            <w:tcW w:w="886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284" w:hanging="284"/>
            </w:pPr>
            <w:r>
              <w:t>a) do sklasyfikowania lepiszcza odzyskanego w granulacie asfaltowym wystarcza oznaczenie temperatury mięknienia PiK. Tylko w szczególnych przypadkach należy wykonać oznaczenie penetracji. Oceny właściwości lepiszcza należy dokonać wg pktu 4.2.2  normy PN-EN 13108-8 [53]</w:t>
            </w:r>
          </w:p>
        </w:tc>
      </w:tr>
    </w:tbl>
    <w:p w:rsidR="00CD292D" w:rsidRDefault="00CD292D" w:rsidP="00CD292D">
      <w:pPr>
        <w:spacing w:before="120"/>
        <w:ind w:firstLine="709"/>
        <w:rPr>
          <w:rFonts w:eastAsiaTheme="minorEastAsia"/>
        </w:rPr>
      </w:pPr>
      <w:r>
        <w:t>Zawartość materiałów obcych w granulacie asfaltowym, oznaczona wg PN-EN 12697-42 [48],  powinna spełniać wymagania podane w tablicy 11.</w:t>
      </w:r>
    </w:p>
    <w:p w:rsidR="00CD292D" w:rsidRDefault="00CD292D" w:rsidP="00CD292D">
      <w:pPr>
        <w:spacing w:before="120" w:after="120"/>
      </w:pPr>
      <w:r>
        <w:t>Tablica 11. Zawartość materiałów obcych w granulacie asfaltowym</w:t>
      </w:r>
    </w:p>
    <w:tbl>
      <w:tblPr>
        <w:tblW w:w="0" w:type="auto"/>
        <w:tblCellMar>
          <w:left w:w="0" w:type="dxa"/>
          <w:right w:w="0" w:type="dxa"/>
        </w:tblCellMar>
        <w:tblLook w:val="04A0" w:firstRow="1" w:lastRow="0" w:firstColumn="1" w:lastColumn="0" w:noHBand="0" w:noVBand="1"/>
      </w:tblPr>
      <w:tblGrid>
        <w:gridCol w:w="2503"/>
        <w:gridCol w:w="2645"/>
        <w:gridCol w:w="2740"/>
      </w:tblGrid>
      <w:tr w:rsidR="00CD292D" w:rsidTr="00CD292D">
        <w:tc>
          <w:tcPr>
            <w:tcW w:w="5148"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jc w:val="center"/>
            </w:pPr>
            <w:r>
              <w:t>Materiały obce</w:t>
            </w:r>
            <w:r>
              <w:rPr>
                <w:vertAlign w:val="superscript"/>
              </w:rPr>
              <w:t>a)</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Kategoria</w:t>
            </w:r>
          </w:p>
        </w:tc>
      </w:tr>
      <w:tr w:rsidR="00CD292D" w:rsidTr="00CD292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Grupa 1</w:t>
            </w:r>
          </w:p>
          <w:p w:rsidR="00CD292D" w:rsidRDefault="00CD292D">
            <w:pPr>
              <w:jc w:val="center"/>
            </w:pPr>
            <w:r>
              <w:t>[%(m/m)]</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Grupa 2</w:t>
            </w:r>
          </w:p>
          <w:p w:rsidR="00CD292D" w:rsidRDefault="00CD292D">
            <w:pPr>
              <w:jc w:val="center"/>
            </w:pPr>
            <w:r>
              <w:t>[%(m/m)]</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PM</w:t>
            </w:r>
          </w:p>
        </w:tc>
      </w:tr>
      <w:tr w:rsidR="00CD292D" w:rsidTr="00CD292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&lt;1</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PM</w:t>
            </w:r>
            <w:r>
              <w:rPr>
                <w:vertAlign w:val="subscript"/>
              </w:rPr>
              <w:t>1/0,1</w:t>
            </w:r>
          </w:p>
        </w:tc>
      </w:tr>
      <w:tr w:rsidR="00CD292D" w:rsidTr="00CD292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&lt;5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PM</w:t>
            </w:r>
            <w:r>
              <w:rPr>
                <w:vertAlign w:val="subscript"/>
              </w:rPr>
              <w:t>5/0,1</w:t>
            </w:r>
          </w:p>
        </w:tc>
      </w:tr>
      <w:tr w:rsidR="00CD292D" w:rsidTr="00CD292D">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&gt;0,1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PM</w:t>
            </w:r>
            <w:r>
              <w:rPr>
                <w:vertAlign w:val="subscript"/>
              </w:rPr>
              <w:t>dec</w:t>
            </w:r>
          </w:p>
        </w:tc>
      </w:tr>
      <w:tr w:rsidR="00CD292D" w:rsidTr="00CD292D">
        <w:tc>
          <w:tcPr>
            <w:tcW w:w="788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 materiały obce grupy 1 i 2 zgodnie z pktem 4.1 normy PN-EN 13108-8 [53]</w:t>
            </w:r>
          </w:p>
        </w:tc>
      </w:tr>
    </w:tbl>
    <w:p w:rsidR="00CD292D" w:rsidRDefault="00CD292D" w:rsidP="00CD292D">
      <w:pPr>
        <w:rPr>
          <w:rFonts w:eastAsiaTheme="minorEastAsia"/>
        </w:rPr>
      </w:pPr>
      <w:r>
        <w:t> </w:t>
      </w:r>
    </w:p>
    <w:p w:rsidR="00CD292D" w:rsidRDefault="00CD292D" w:rsidP="00CD292D">
      <w:pPr>
        <w:ind w:firstLine="709"/>
      </w:pPr>
      <w:r>
        <w:t>Wymiar D kruszywa zawartego w granulacie asfaltowym nie może być większy od  wymiaru D mieszanki mineralnej wchodzącej w skład mieszanki mineralno-asfaltowej.</w:t>
      </w:r>
    </w:p>
    <w:p w:rsidR="00CD292D" w:rsidRDefault="00CD292D" w:rsidP="00CD292D">
      <w:pPr>
        <w:ind w:firstLine="709"/>
      </w:pPr>
      <w:r>
        <w:t>Do obliczania temperatury mięknienia mieszaniny lepiszcza z granulatu asfaltowego i dodanego asfaltu należy, zgodnie z PN-EN 13108-1 [51], załącznik a, pkt A.3,  stosować następujące równanie:</w:t>
      </w:r>
    </w:p>
    <w:p w:rsidR="00CD292D" w:rsidRDefault="00CD292D" w:rsidP="00CD292D">
      <w:pPr>
        <w:jc w:val="center"/>
      </w:pPr>
      <w:r>
        <w:t>T</w:t>
      </w:r>
      <w:r>
        <w:rPr>
          <w:vertAlign w:val="subscript"/>
        </w:rPr>
        <w:t xml:space="preserve">PiKmix </w:t>
      </w:r>
      <w:r>
        <w:t>= α · T</w:t>
      </w:r>
      <w:r>
        <w:rPr>
          <w:vertAlign w:val="subscript"/>
        </w:rPr>
        <w:t xml:space="preserve">PiK1 </w:t>
      </w:r>
      <w:r>
        <w:t>+b · T</w:t>
      </w:r>
      <w:r>
        <w:rPr>
          <w:vertAlign w:val="subscript"/>
        </w:rPr>
        <w:t>PiK2</w:t>
      </w:r>
    </w:p>
    <w:p w:rsidR="00CD292D" w:rsidRDefault="00CD292D" w:rsidP="00CD292D">
      <w:r>
        <w:t>w którym:</w:t>
      </w:r>
    </w:p>
    <w:p w:rsidR="00CD292D" w:rsidRDefault="00CD292D" w:rsidP="00CD292D">
      <w:pPr>
        <w:ind w:left="960" w:hanging="960"/>
      </w:pPr>
      <w:r>
        <w:t>T</w:t>
      </w:r>
      <w:r>
        <w:rPr>
          <w:vertAlign w:val="subscript"/>
        </w:rPr>
        <w:t>PiKmix</w:t>
      </w:r>
      <w:r>
        <w:t xml:space="preserve"> – temperatura mięknienia mieszanki lepiszczy w mieszance mineralno-asfaltowej z dodatkiem granulatu asfaltowego, [°C],</w:t>
      </w:r>
    </w:p>
    <w:p w:rsidR="00CD292D" w:rsidRDefault="00CD292D" w:rsidP="00CD292D">
      <w:r>
        <w:t>T</w:t>
      </w:r>
      <w:r>
        <w:rPr>
          <w:vertAlign w:val="subscript"/>
        </w:rPr>
        <w:t xml:space="preserve">PiK1    </w:t>
      </w:r>
      <w:r>
        <w:t> –  temperatura mięknienia lepiszcza odzyskanego z granulatu asfaltowego, [°C],</w:t>
      </w:r>
    </w:p>
    <w:p w:rsidR="00CD292D" w:rsidRDefault="00CD292D" w:rsidP="00CD292D">
      <w:r>
        <w:t>T</w:t>
      </w:r>
      <w:r>
        <w:rPr>
          <w:vertAlign w:val="subscript"/>
        </w:rPr>
        <w:t xml:space="preserve">PiK2     </w:t>
      </w:r>
      <w:r>
        <w:t>–  średnia temperatura mięknienia dodanego lepiszcza asfaltowego [°C],</w:t>
      </w:r>
    </w:p>
    <w:p w:rsidR="00CD292D" w:rsidRDefault="00CD292D" w:rsidP="00CD292D">
      <w:pPr>
        <w:ind w:left="960" w:hanging="960"/>
      </w:pPr>
      <w:r>
        <w:t>a i b   – udział masowy: lepiszcza z granulatu asfaltowego (a) i dodanego lepiszcza (b), przy a+b=1</w:t>
      </w:r>
    </w:p>
    <w:p w:rsidR="00CD292D" w:rsidRDefault="00CD292D" w:rsidP="00CD292D">
      <w:pPr>
        <w:spacing w:after="120"/>
      </w:pPr>
      <w:r>
        <w:rPr>
          <w:b/>
          <w:bCs/>
        </w:rPr>
        <w:t>2.6.2.</w:t>
      </w:r>
      <w:r>
        <w:t xml:space="preserve"> Jednorodność granulatu asfaltowego </w:t>
      </w:r>
    </w:p>
    <w:p w:rsidR="00CD292D" w:rsidRDefault="00CD292D" w:rsidP="00CD292D">
      <w:pPr>
        <w:ind w:firstLine="709"/>
      </w:pPr>
      <w:r>
        <w:t xml:space="preserve">Jednorodność granulatu asfaltowego powinna być oceniana na podstawie rozstępu procentowego udziału w granulacie: kruszywa grubego, kruszywa drobnego oraz pyłów, zawartości </w:t>
      </w:r>
      <w:r>
        <w:lastRenderedPageBreak/>
        <w:t xml:space="preserve">lepiszcza oraz rozstępu wyników pomiarów temperatury mięknienia lepiszcza odzyskanego z granulatu asfaltowego. </w:t>
      </w:r>
    </w:p>
    <w:p w:rsidR="00CD292D" w:rsidRDefault="00CD292D" w:rsidP="00CD292D">
      <w:pPr>
        <w:ind w:firstLine="709"/>
      </w:pPr>
      <w:r>
        <w:t xml:space="preserve">Wymagane jest podanie zmierzonej wartości jednorodności rozstępu wyników badań właściwości przeprowadzonych na liczbie próbek </w:t>
      </w:r>
      <w:r>
        <w:rPr>
          <w:i/>
          <w:iCs/>
        </w:rPr>
        <w:t>n</w:t>
      </w:r>
      <w:r>
        <w:t xml:space="preserve">, przy czym </w:t>
      </w:r>
      <w:r>
        <w:rPr>
          <w:i/>
          <w:iCs/>
        </w:rPr>
        <w:t>n</w:t>
      </w:r>
      <w:r>
        <w:t xml:space="preserve"> powinno wynosić co najmniej 5. Liczbę próbek oblicza się, dzieląc masę materiału wyjściowego podanego w tonach [t], zaokrąglając w górę do pełnej liczby.</w:t>
      </w:r>
    </w:p>
    <w:p w:rsidR="00CD292D" w:rsidRDefault="00CD292D" w:rsidP="00CD292D">
      <w:pPr>
        <w:ind w:firstLine="709"/>
      </w:pPr>
      <w:r>
        <w:t xml:space="preserve">Wymagania dotyczące dopuszczalnego rozstępu wyników badań granulatu asfaltowego podano w tablicy 12. </w:t>
      </w:r>
    </w:p>
    <w:p w:rsidR="00CD292D" w:rsidRDefault="00CD292D" w:rsidP="00CD292D">
      <w:pPr>
        <w:spacing w:before="120" w:after="120"/>
      </w:pPr>
      <w:r>
        <w:t>Tablica 12. Dopuszczalny rozstęp wyników badań właściwości</w:t>
      </w:r>
    </w:p>
    <w:tbl>
      <w:tblPr>
        <w:tblW w:w="0" w:type="auto"/>
        <w:tblCellMar>
          <w:left w:w="0" w:type="dxa"/>
          <w:right w:w="0" w:type="dxa"/>
        </w:tblCellMar>
        <w:tblLook w:val="04A0" w:firstRow="1" w:lastRow="0" w:firstColumn="1" w:lastColumn="0" w:noHBand="0" w:noVBand="1"/>
      </w:tblPr>
      <w:tblGrid>
        <w:gridCol w:w="5582"/>
        <w:gridCol w:w="3286"/>
      </w:tblGrid>
      <w:tr w:rsidR="00CD292D" w:rsidTr="00CD292D">
        <w:trPr>
          <w:trHeight w:val="1160"/>
        </w:trPr>
        <w:tc>
          <w:tcPr>
            <w:tcW w:w="558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w:t>
            </w:r>
          </w:p>
          <w:p w:rsidR="00CD292D" w:rsidRDefault="00CD292D">
            <w:pPr>
              <w:jc w:val="center"/>
            </w:pPr>
            <w:r>
              <w:t>Właściwość</w:t>
            </w:r>
          </w:p>
        </w:tc>
        <w:tc>
          <w:tcPr>
            <w:tcW w:w="32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Dopuszczalny rozstęp wyników badań (T</w:t>
            </w:r>
            <w:r>
              <w:rPr>
                <w:vertAlign w:val="subscript"/>
              </w:rPr>
              <w:t>roż</w:t>
            </w:r>
            <w:r>
              <w:t>) partii granulatu asfaltowego do zastosowania w mieszance mineralno-asfaltowej przeznaczonej do warstwy wiążącej</w:t>
            </w:r>
          </w:p>
        </w:tc>
      </w:tr>
      <w:tr w:rsidR="00CD292D" w:rsidTr="00CD292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Temperatura mięknienia lepiszcza odzyskanego, [°C]</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8,0</w:t>
            </w:r>
          </w:p>
        </w:tc>
      </w:tr>
      <w:tr w:rsidR="00CD292D" w:rsidTr="00CD292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Zawartość lepiszcza,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1,0</w:t>
            </w:r>
          </w:p>
        </w:tc>
      </w:tr>
      <w:tr w:rsidR="00CD292D" w:rsidTr="00CD292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Kruszywo o uziarnieniu poniżej 0,063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6,0</w:t>
            </w:r>
          </w:p>
        </w:tc>
      </w:tr>
      <w:tr w:rsidR="00CD292D" w:rsidTr="00CD292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Kruszywo o uziarnieniu od 0,063 do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16,0</w:t>
            </w:r>
          </w:p>
        </w:tc>
      </w:tr>
      <w:tr w:rsidR="00CD292D" w:rsidTr="00CD292D">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Kruszywo o uziarnieniu powyżej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16,0</w:t>
            </w:r>
          </w:p>
        </w:tc>
      </w:tr>
    </w:tbl>
    <w:p w:rsidR="00CD292D" w:rsidRDefault="00CD292D" w:rsidP="00CD292D">
      <w:pPr>
        <w:spacing w:before="120" w:after="120"/>
        <w:rPr>
          <w:rFonts w:eastAsiaTheme="minorEastAsia"/>
        </w:rPr>
      </w:pPr>
      <w:r>
        <w:rPr>
          <w:b/>
          <w:bCs/>
        </w:rPr>
        <w:t>2.6.3.</w:t>
      </w:r>
      <w:r>
        <w:t xml:space="preserve"> Deklarowanie właściwości  granulatu asfaltowego </w:t>
      </w:r>
    </w:p>
    <w:p w:rsidR="00CD292D" w:rsidRDefault="00CD292D" w:rsidP="00CD292D">
      <w:pPr>
        <w:ind w:firstLine="709"/>
      </w:pPr>
      <w:r>
        <w:t>W opisie granulatu asfaltowego producent powinien zadeklarować:</w:t>
      </w:r>
    </w:p>
    <w:p w:rsidR="00CD292D" w:rsidRDefault="00CD292D" w:rsidP="00CD292D">
      <w:pPr>
        <w:ind w:left="454" w:hanging="397"/>
      </w:pPr>
      <w:r>
        <w:t>–</w:t>
      </w:r>
      <w:r>
        <w:rPr>
          <w:sz w:val="14"/>
          <w:szCs w:val="14"/>
        </w:rPr>
        <w:t xml:space="preserve">         </w:t>
      </w:r>
      <w:r>
        <w:t>typ mieszanki lub mieszanek, z których pochodzi granulat (np. AC 16 S , droga DK 10), nie dopuszcza się do stosowania granulatu,  którego pochodzenia nie można udokumentować i zadeklarować,</w:t>
      </w:r>
    </w:p>
    <w:p w:rsidR="00CD292D" w:rsidRDefault="00CD292D" w:rsidP="00CD292D">
      <w:pPr>
        <w:ind w:left="454" w:hanging="397"/>
      </w:pPr>
      <w:r>
        <w:t>–</w:t>
      </w:r>
      <w:r>
        <w:rPr>
          <w:sz w:val="14"/>
          <w:szCs w:val="14"/>
        </w:rPr>
        <w:t xml:space="preserve">         </w:t>
      </w:r>
      <w:r>
        <w:t>rodzaj kruszywa i średnie uziarnienie,</w:t>
      </w:r>
    </w:p>
    <w:p w:rsidR="00CD292D" w:rsidRDefault="00CD292D" w:rsidP="00CD292D">
      <w:pPr>
        <w:ind w:left="454" w:hanging="397"/>
      </w:pPr>
      <w:r>
        <w:t>–</w:t>
      </w:r>
      <w:r>
        <w:rPr>
          <w:sz w:val="14"/>
          <w:szCs w:val="14"/>
        </w:rPr>
        <w:t xml:space="preserve">         </w:t>
      </w:r>
      <w:r>
        <w:t>typ lepiszcza, średnią zawartość lepiszcza i średnia temperaturę mięknienia lepiszcza odzyskanego,</w:t>
      </w:r>
    </w:p>
    <w:p w:rsidR="00CD292D" w:rsidRDefault="00CD292D" w:rsidP="00CD292D">
      <w:pPr>
        <w:ind w:left="454" w:hanging="397"/>
      </w:pPr>
      <w:r>
        <w:t>–</w:t>
      </w:r>
      <w:r>
        <w:rPr>
          <w:sz w:val="14"/>
          <w:szCs w:val="14"/>
        </w:rPr>
        <w:t xml:space="preserve">         </w:t>
      </w:r>
      <w:r>
        <w:t xml:space="preserve">maksymalną wielkość kawałków granulatu asfaltowego U GRA D/d. </w:t>
      </w:r>
    </w:p>
    <w:p w:rsidR="00CD292D" w:rsidRDefault="00CD292D" w:rsidP="00CD292D">
      <w:pPr>
        <w:ind w:firstLine="709"/>
      </w:pPr>
      <w:r>
        <w:t>Właściwości kruszywa z granulatu asfaltowego powinny spełniać wymagania określone dla kruszywa w danej mieszance mineralno-asfaltowej.</w:t>
      </w:r>
    </w:p>
    <w:p w:rsidR="00CD292D" w:rsidRDefault="00CD292D" w:rsidP="00CD292D">
      <w:pPr>
        <w:ind w:firstLine="709"/>
      </w:pPr>
      <w:r>
        <w:t xml:space="preserve">Dopuszcza się deklarowanie właściwości kruszywa mineralnego w granulacie asfaltowym na podstawie udokumentowanego wcześniej zastosowania. </w:t>
      </w:r>
    </w:p>
    <w:p w:rsidR="00CD292D" w:rsidRDefault="00CD292D" w:rsidP="00CD292D">
      <w:pPr>
        <w:spacing w:before="120" w:after="120"/>
      </w:pPr>
      <w:r>
        <w:rPr>
          <w:b/>
          <w:bCs/>
        </w:rPr>
        <w:t>2.6.4.</w:t>
      </w:r>
      <w:r>
        <w:t xml:space="preserve"> Warunki stosowania granulatu asfaltowego </w:t>
      </w:r>
    </w:p>
    <w:p w:rsidR="00CD292D" w:rsidRDefault="00CD292D" w:rsidP="00CD292D">
      <w:pPr>
        <w:ind w:firstLine="709"/>
      </w:pPr>
      <w:r>
        <w:t xml:space="preserve">Granulat asfaltowy może być wykorzystywany do produkcji mieszanki mineralno-asfaltowej, jeżeli spełnione są wymagania dotyczące końcowego wyrobu – mieszanki mineralno-asfaltowej z jego dodatkiem. Wytwórnia mieszanek mineralno-asfaltowych powinna spełniać warunki </w:t>
      </w:r>
      <w:r>
        <w:lastRenderedPageBreak/>
        <w:t>kontrolowanego, mechanicznego dozowania granulatu asfaltowego podczas  produkcji mieszanki mineralno-asfaltowej.</w:t>
      </w:r>
    </w:p>
    <w:p w:rsidR="00CD292D" w:rsidRDefault="00CD292D" w:rsidP="00CD292D">
      <w:pPr>
        <w:ind w:firstLine="709"/>
      </w:pPr>
      <w:r>
        <w:t xml:space="preserve">Granulat dodawany na zimno wymaga wyższego podgrzewania kruszywa, zgodnie z tablicą 13. Jeżeli granulat asfaltowy jest wilgotny to należy temperaturę kruszywa jeszcze podnieść o korektę z tablicy 14. </w:t>
      </w:r>
    </w:p>
    <w:p w:rsidR="00CD292D" w:rsidRDefault="00CD292D" w:rsidP="00CD292D">
      <w:pPr>
        <w:spacing w:before="120"/>
        <w:ind w:left="1134" w:hanging="1134"/>
      </w:pPr>
      <w:r>
        <w:t>Tablica 13.  Temperatura kruszywa w zależności od ilości zimnego i suchego granulatu asfaltowego</w:t>
      </w:r>
    </w:p>
    <w:p w:rsidR="00CD292D" w:rsidRDefault="00CD292D" w:rsidP="00CD292D">
      <w:r>
        <w:rPr>
          <w:noProof/>
          <w:lang w:eastAsia="pl-PL"/>
        </w:rPr>
        <w:drawing>
          <wp:inline distT="0" distB="0" distL="0" distR="0">
            <wp:extent cx="4676775" cy="3028950"/>
            <wp:effectExtent l="0" t="0" r="9525" b="0"/>
            <wp:docPr id="17" name="Obraz 17" descr="D:\ost\Nawierzchnie\d050305b2016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D:\ost\Nawierzchnie\d050305b2016_pliki\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p w:rsidR="00CD292D" w:rsidRDefault="00CD292D" w:rsidP="00CD292D">
      <w:pPr>
        <w:ind w:firstLine="709"/>
      </w:pPr>
      <w:r>
        <w:t xml:space="preserve">Należy oznaczyć wilgotność granulatu asfaltowego i skorygować temperaturę produkcji mma zgodnie z tablicą 14 o tyle, aby nie została przekroczona dopuszczalna najwyższa temperatura lepiszcza asfaltowego w zbiorniku magazynowym (roboczym) - patrz pkt 2.3. </w:t>
      </w:r>
    </w:p>
    <w:p w:rsidR="00CD292D" w:rsidRDefault="00CD292D" w:rsidP="00CD292D">
      <w:pPr>
        <w:spacing w:before="120" w:after="120"/>
        <w:ind w:left="1134" w:hanging="1134"/>
      </w:pPr>
      <w:r>
        <w:t>Tablica 14.  Korekta temperatury produkcji w zależności od wilgotności granulatu asfaltowego</w:t>
      </w:r>
    </w:p>
    <w:tbl>
      <w:tblPr>
        <w:tblW w:w="0" w:type="auto"/>
        <w:tblCellMar>
          <w:left w:w="0" w:type="dxa"/>
          <w:right w:w="0" w:type="dxa"/>
        </w:tblCellMar>
        <w:tblLook w:val="04A0" w:firstRow="1" w:lastRow="0" w:firstColumn="1" w:lastColumn="0" w:noHBand="0" w:noVBand="1"/>
      </w:tblPr>
      <w:tblGrid>
        <w:gridCol w:w="1307"/>
        <w:gridCol w:w="1068"/>
        <w:gridCol w:w="1067"/>
        <w:gridCol w:w="1067"/>
        <w:gridCol w:w="1067"/>
        <w:gridCol w:w="1067"/>
        <w:gridCol w:w="1067"/>
      </w:tblGrid>
      <w:tr w:rsidR="00CD292D" w:rsidTr="00CD292D">
        <w:tc>
          <w:tcPr>
            <w:tcW w:w="1184"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CD292D" w:rsidRDefault="00CD292D">
            <w:pPr>
              <w:jc w:val="center"/>
            </w:pPr>
            <w:r>
              <w:t>Udział granulatu asfaltowego M[%]</w:t>
            </w:r>
          </w:p>
        </w:tc>
        <w:tc>
          <w:tcPr>
            <w:tcW w:w="6403"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Wilgotność granulatu asfaltowego [%]</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64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Korekta temperatury °C</w:t>
            </w:r>
          </w:p>
        </w:tc>
      </w:tr>
      <w:tr w:rsidR="00CD292D" w:rsidTr="00CD292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tc>
        <w:tc>
          <w:tcPr>
            <w:tcW w:w="106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4</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8</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12</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16</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20</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24</w:t>
            </w:r>
          </w:p>
        </w:tc>
      </w:tr>
      <w:tr w:rsidR="00CD292D" w:rsidTr="00CD292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18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36</w:t>
            </w:r>
          </w:p>
        </w:tc>
      </w:tr>
      <w:tr w:rsidR="00CD292D" w:rsidTr="00CD292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16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32</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48</w:t>
            </w:r>
          </w:p>
        </w:tc>
      </w:tr>
      <w:tr w:rsidR="00CD292D" w:rsidTr="00CD292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10</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20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50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60</w:t>
            </w:r>
          </w:p>
        </w:tc>
      </w:tr>
      <w:tr w:rsidR="00CD292D" w:rsidTr="00CD292D">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CD292D" w:rsidRDefault="00CD292D">
            <w:pPr>
              <w:jc w:val="center"/>
            </w:pPr>
            <w: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CD292D" w:rsidRDefault="00CD292D">
            <w:pPr>
              <w:jc w:val="center"/>
            </w:pPr>
            <w:r>
              <w:t>-</w:t>
            </w:r>
          </w:p>
        </w:tc>
      </w:tr>
    </w:tbl>
    <w:p w:rsidR="00CD292D" w:rsidRDefault="00CD292D" w:rsidP="00CD292D">
      <w:pPr>
        <w:rPr>
          <w:rFonts w:eastAsiaTheme="minorEastAsia"/>
        </w:rPr>
      </w:pPr>
      <w:r>
        <w:t> </w:t>
      </w:r>
    </w:p>
    <w:p w:rsidR="00CD292D" w:rsidRDefault="00CD292D" w:rsidP="00CD292D">
      <w:pPr>
        <w:ind w:firstLine="709"/>
      </w:pPr>
      <w:r>
        <w:t xml:space="preserve">Szare pola wskazują dodatek granulatu nieekonomiczny i niebezpieczny ze względu na duże ilości pary wodnej powstającej przy odparowaniu wody z wilgotnego granulatu. </w:t>
      </w:r>
    </w:p>
    <w:p w:rsidR="00CD292D" w:rsidRDefault="00CD292D" w:rsidP="00CD292D">
      <w:pPr>
        <w:ind w:firstLine="709"/>
      </w:pPr>
      <w:r>
        <w:lastRenderedPageBreak/>
        <w:t xml:space="preserve">Dopuszcza się użycie granulatu asfaltowego w metodzie „na zimno”  (bez wstępnego ogrzewania) w ilości do 20% masy mieszanki mineralno-asfaltowej na podstawie wykazania spełnienia wymagań podanych powyżej oraz spełniania właściwości mma. </w:t>
      </w:r>
    </w:p>
    <w:p w:rsidR="00CD292D" w:rsidRDefault="00CD292D" w:rsidP="00CD292D">
      <w:r>
        <w:t>Uwaga: Stosowanie granulatu asfaltowego nie może obniżać właściwości mieszanek mineralno-asfaltowych.</w:t>
      </w:r>
    </w:p>
    <w:p w:rsidR="00CD292D" w:rsidRDefault="00CD292D" w:rsidP="00CD292D">
      <w:pPr>
        <w:ind w:firstLine="709"/>
      </w:pPr>
      <w:r>
        <w:t>Do produkcji mieszanek mineralno-asfaltowych z zastosowaniem granulatu nie dopuszcza się stosowania środków obniżających lepkość asfaltu.</w:t>
      </w:r>
    </w:p>
    <w:p w:rsidR="00CD292D" w:rsidRDefault="00CD292D" w:rsidP="00CD292D">
      <w:pPr>
        <w:pStyle w:val="Nagwek2"/>
        <w:rPr>
          <w:rFonts w:eastAsia="Times New Roman"/>
        </w:rPr>
      </w:pPr>
      <w:r>
        <w:rPr>
          <w:rFonts w:eastAsia="Times New Roman"/>
        </w:rPr>
        <w:t>2.7. Materiały do uszczelnienia połączeń i krawędzi</w:t>
      </w:r>
    </w:p>
    <w:p w:rsidR="00CD292D" w:rsidRDefault="00CD292D" w:rsidP="00CD292D">
      <w:pPr>
        <w:rPr>
          <w:rFonts w:eastAsiaTheme="minorEastAsia"/>
        </w:rPr>
      </w:pPr>
      <w: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rsidR="00CD292D" w:rsidRDefault="00CD292D" w:rsidP="00CD292D">
      <w:pPr>
        <w:spacing w:before="120" w:after="120"/>
        <w:ind w:left="1134" w:hanging="1134"/>
      </w:pPr>
      <w:r>
        <w:t>Tablica 15.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D292D" w:rsidTr="00CD292D">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Złącze poprzeczne</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materiału</w:t>
            </w:r>
          </w:p>
        </w:tc>
      </w:tr>
      <w:tr w:rsidR="00CD292D" w:rsidTr="00CD292D">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Warstwa wiążąca</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1-7</w:t>
            </w:r>
          </w:p>
          <w:p w:rsidR="00CD292D" w:rsidRDefault="00CD292D">
            <w:r>
              <w:t> </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Pasty asfaltowe lub elastyczne taśmy bitumiczne</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0" w:type="auto"/>
            <w:vMerge/>
            <w:tcBorders>
              <w:top w:val="nil"/>
              <w:left w:val="nil"/>
              <w:bottom w:val="single" w:sz="8" w:space="0" w:color="auto"/>
              <w:right w:val="single" w:sz="8" w:space="0" w:color="auto"/>
            </w:tcBorders>
            <w:vAlign w:val="center"/>
            <w:hideMark/>
          </w:tcPr>
          <w:p w:rsidR="00CD292D" w:rsidRDefault="00CD292D">
            <w:pPr>
              <w:rPr>
                <w:rFonts w:eastAsiaTheme="minorEastAsia"/>
                <w:sz w:val="24"/>
                <w:szCs w:val="24"/>
              </w:rPr>
            </w:pP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3-7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Elastyczne taśmy bitumiczne</w:t>
            </w:r>
          </w:p>
        </w:tc>
      </w:tr>
    </w:tbl>
    <w:p w:rsidR="00CD292D" w:rsidRDefault="00CD292D" w:rsidP="00CD292D">
      <w:pPr>
        <w:spacing w:before="240" w:after="120"/>
        <w:ind w:left="1134" w:hanging="1134"/>
        <w:rPr>
          <w:rFonts w:eastAsiaTheme="minorEastAsia"/>
        </w:rPr>
      </w:pPr>
      <w:r>
        <w:t>Tablica 16.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materiału</w:t>
            </w:r>
          </w:p>
        </w:tc>
      </w:tr>
      <w:tr w:rsidR="00CD292D" w:rsidTr="00CD292D">
        <w:trPr>
          <w:trHeight w:val="621"/>
        </w:trPr>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Warstwa wiążąca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KR 1-7</w:t>
            </w:r>
          </w:p>
          <w:p w:rsidR="00CD292D" w:rsidRDefault="00CD292D">
            <w: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Pasty asfaltowe lub</w:t>
            </w:r>
          </w:p>
          <w:p w:rsidR="00CD292D" w:rsidRDefault="00CD292D">
            <w:r>
              <w:t xml:space="preserve">elastyczne taśmy bitumiczne </w:t>
            </w:r>
          </w:p>
        </w:tc>
      </w:tr>
    </w:tbl>
    <w:p w:rsidR="00CD292D" w:rsidRDefault="00CD292D" w:rsidP="00CD292D">
      <w:pPr>
        <w:spacing w:before="240" w:after="120"/>
        <w:rPr>
          <w:rFonts w:eastAsiaTheme="minorEastAsia"/>
        </w:rPr>
      </w:pPr>
      <w:r>
        <w:t>Tablica 17. Wymagania wobec taśm bitumicznych</w:t>
      </w:r>
    </w:p>
    <w:tbl>
      <w:tblPr>
        <w:tblW w:w="0" w:type="auto"/>
        <w:tblCellMar>
          <w:left w:w="0" w:type="dxa"/>
          <w:right w:w="0" w:type="dxa"/>
        </w:tblCellMar>
        <w:tblLook w:val="04A0" w:firstRow="1" w:lastRow="0" w:firstColumn="1" w:lastColumn="0" w:noHBand="0" w:noVBand="1"/>
      </w:tblPr>
      <w:tblGrid>
        <w:gridCol w:w="2231"/>
        <w:gridCol w:w="2232"/>
        <w:gridCol w:w="2232"/>
        <w:gridCol w:w="2232"/>
      </w:tblGrid>
      <w:tr w:rsidR="00CD292D" w:rsidTr="00CD292D">
        <w:tc>
          <w:tcPr>
            <w:tcW w:w="2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Właściwość</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Metoda badawcza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Dodatkowy opis warunków badania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Wymaganie</w:t>
            </w:r>
          </w:p>
        </w:tc>
      </w:tr>
      <w:tr w:rsidR="00CD292D" w:rsidTr="00CD292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1427[21]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≥90°C</w:t>
            </w:r>
          </w:p>
        </w:tc>
      </w:tr>
      <w:tr w:rsidR="00CD292D" w:rsidTr="00CD292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Penetracja stożkiem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13880-2[71]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 do 50</w:t>
            </w:r>
          </w:p>
          <w:p w:rsidR="00CD292D" w:rsidRDefault="00CD292D">
            <w:pPr>
              <w:jc w:val="center"/>
            </w:pPr>
            <w:r>
              <w:t>1/10 mm</w:t>
            </w:r>
          </w:p>
        </w:tc>
      </w:tr>
      <w:tr w:rsidR="00CD292D" w:rsidTr="00CD292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Odprężenie sprężyste (odbojność)</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13880-3[72]</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 do 30%</w:t>
            </w:r>
          </w:p>
        </w:tc>
      </w:tr>
      <w:tr w:rsidR="00CD292D" w:rsidTr="00CD292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Zginanie na zimno</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DIN 52123[76]</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test odcinka taśmy o długości 20 cm w temperaturze 0°C </w:t>
            </w:r>
          </w:p>
          <w:p w:rsidR="00CD292D" w:rsidRDefault="00CD292D">
            <w:r>
              <w:t xml:space="preserve">badanie po 24 godzinnym </w:t>
            </w:r>
          </w:p>
          <w:p w:rsidR="00CD292D" w:rsidRDefault="00CD292D">
            <w:r>
              <w:t xml:space="preserve">kondycjonowaniu </w:t>
            </w:r>
          </w:p>
          <w:p w:rsidR="00CD292D" w:rsidRDefault="00CD292D">
            <w: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Bez pęknięcia</w:t>
            </w:r>
          </w:p>
        </w:tc>
      </w:tr>
      <w:tr w:rsidR="00CD292D" w:rsidTr="00CD292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Możliwość wydłużenia oraz przyczepności taśmy</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SNV 671 920</w:t>
            </w:r>
          </w:p>
          <w:p w:rsidR="00CD292D" w:rsidRDefault="00CD292D">
            <w: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 temperaturze </w:t>
            </w:r>
          </w:p>
          <w:p w:rsidR="00CD292D" w:rsidRDefault="00CD292D">
            <w: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w:t>
            </w:r>
          </w:p>
          <w:p w:rsidR="00CD292D" w:rsidRDefault="00CD292D">
            <w:pPr>
              <w:jc w:val="center"/>
            </w:pPr>
            <w:r>
              <w:t>≤1 N/mm</w:t>
            </w:r>
            <w:r>
              <w:rPr>
                <w:vertAlign w:val="superscript"/>
              </w:rPr>
              <w:t>2</w:t>
            </w:r>
          </w:p>
        </w:tc>
      </w:tr>
      <w:tr w:rsidR="00CD292D" w:rsidTr="00CD292D">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Możliwość wydłużenia oraz przyczepności taśmy po starzeniu termicznym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SNV 671 920</w:t>
            </w:r>
          </w:p>
          <w:p w:rsidR="00CD292D" w:rsidRDefault="00CD292D">
            <w: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 temperaturze </w:t>
            </w:r>
          </w:p>
          <w:p w:rsidR="00CD292D" w:rsidRDefault="00CD292D">
            <w: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Należy podać wynik</w:t>
            </w:r>
          </w:p>
        </w:tc>
      </w:tr>
    </w:tbl>
    <w:p w:rsidR="00CD292D" w:rsidRDefault="00CD292D" w:rsidP="00CD292D">
      <w:pPr>
        <w:spacing w:before="240" w:after="120"/>
        <w:rPr>
          <w:rFonts w:eastAsiaTheme="minorEastAsia"/>
        </w:rPr>
      </w:pPr>
      <w:r>
        <w:t>Tablica 18.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Wymaganie</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1425[77]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pasta</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Nie spływa</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1428[78]</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 m/m</w:t>
            </w:r>
          </w:p>
        </w:tc>
      </w:tr>
      <w:tr w:rsidR="00CD292D" w:rsidTr="00CD292D">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Właściwości odzyskanego i ustabilizowanego lepiszcza: PN-EN 13074-1[79] lub PN-EN 13074-2[80]</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≥70°C</w:t>
            </w:r>
          </w:p>
        </w:tc>
      </w:tr>
    </w:tbl>
    <w:p w:rsidR="00CD292D" w:rsidRDefault="00CD292D" w:rsidP="00CD292D">
      <w:pPr>
        <w:spacing w:before="120" w:after="120"/>
        <w:rPr>
          <w:rFonts w:eastAsiaTheme="minorEastAsia"/>
        </w:rPr>
      </w:pPr>
      <w:r>
        <w:t>Tablica 19.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D292D" w:rsidTr="00CD292D">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Wymaganie</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13880-6[74]</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Homogeniczny</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PiK</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≥80°C</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PN-EN 13880-2[71]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 do 60  0,1 mm</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 mm</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13380-3[72]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10-50%</w:t>
            </w:r>
          </w:p>
        </w:tc>
      </w:tr>
      <w:tr w:rsidR="00CD292D" w:rsidTr="00CD292D">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Wydłużenie nieciągłe (próba przyczepności),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13880-13[75]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 mm</w:t>
            </w:r>
          </w:p>
          <w:p w:rsidR="00CD292D" w:rsidRDefault="00CD292D">
            <w:pPr>
              <w:jc w:val="center"/>
            </w:pPr>
            <w:r>
              <w:t>≤0,75 N/mm</w:t>
            </w:r>
            <w:r>
              <w:rPr>
                <w:vertAlign w:val="superscript"/>
              </w:rPr>
              <w:t>2</w:t>
            </w:r>
          </w:p>
        </w:tc>
      </w:tr>
    </w:tbl>
    <w:p w:rsidR="00CD292D" w:rsidRDefault="00CD292D" w:rsidP="00CD292D">
      <w:pPr>
        <w:pStyle w:val="Nagwek2"/>
        <w:rPr>
          <w:rFonts w:eastAsia="Times New Roman"/>
        </w:rPr>
      </w:pPr>
      <w:r>
        <w:rPr>
          <w:rFonts w:eastAsia="Times New Roman"/>
        </w:rPr>
        <w:t>2.8. Materiały do złączenia warstw konstrukcji</w:t>
      </w:r>
    </w:p>
    <w:p w:rsidR="00CD292D" w:rsidRDefault="00CD292D" w:rsidP="00CD292D">
      <w:pPr>
        <w:rPr>
          <w:rFonts w:eastAsiaTheme="minorEastAsia"/>
        </w:rPr>
      </w:pPr>
      <w:r>
        <w:t>            Do złączania warstw konstrukcji nawierzchni (warstwa wiążąca z warstwą ścieralną) należy stosować  kationowe emulsje asfaltowe niemodyfikowane lub kationowe emulsje modyfikowane polimerami według aktualnego Załącznika krajowego NA do PN-EN 13808 [64].</w:t>
      </w:r>
    </w:p>
    <w:p w:rsidR="00CD292D" w:rsidRDefault="00CD292D" w:rsidP="00CD292D">
      <w:pPr>
        <w:ind w:firstLine="709"/>
      </w:pPr>
      <w:r>
        <w:t xml:space="preserve">Spośród rodzajów emulsji wymienionych w Załączniku krajowym NA [64a] do normy PN-EN 13808 [64], należy stosować emulsje oznaczone kodem ZM. </w:t>
      </w:r>
    </w:p>
    <w:p w:rsidR="00CD292D" w:rsidRDefault="00CD292D" w:rsidP="00CD292D">
      <w:pPr>
        <w:ind w:firstLine="709"/>
      </w:pPr>
      <w:r>
        <w:t xml:space="preserve">Właściwości i przeznaczenie emulsji asfaltowych oraz sposób ich składowania opisano w OST D-04.03.01a [2]. </w:t>
      </w:r>
    </w:p>
    <w:p w:rsidR="00CD292D" w:rsidRDefault="00CD292D" w:rsidP="00CD292D">
      <w:pPr>
        <w:pStyle w:val="Nagwek2"/>
        <w:rPr>
          <w:rFonts w:eastAsia="Times New Roman"/>
        </w:rPr>
      </w:pPr>
      <w:r>
        <w:rPr>
          <w:rFonts w:eastAsia="Times New Roman"/>
        </w:rPr>
        <w:t xml:space="preserve">2.9. Dodatki do mieszanki mineralno-asfaltowej </w:t>
      </w:r>
    </w:p>
    <w:p w:rsidR="00CD292D" w:rsidRDefault="00CD292D" w:rsidP="00CD292D">
      <w:pPr>
        <w:ind w:right="-57" w:firstLine="709"/>
        <w:rPr>
          <w:rFonts w:eastAsiaTheme="minorEastAsia"/>
        </w:rPr>
      </w:pPr>
      <w:r>
        <w:t>Mogą być stosowane dodatki stabilizujące lub modyfikujące. Pochodzenie, rodzaj i właściwości dodatków powinny być deklarowane. Należy używać tylko materiałów składowych o ustalonej przydatności.</w:t>
      </w:r>
    </w:p>
    <w:p w:rsidR="00CD292D" w:rsidRDefault="00CD292D" w:rsidP="00CD292D">
      <w:pPr>
        <w:ind w:right="-57" w:firstLine="709"/>
      </w:pPr>
      <w:r>
        <w:t xml:space="preserve">Ustalenie przydatności powinno wynikać co najmniej jednego z następujących dokumentów: </w:t>
      </w:r>
    </w:p>
    <w:p w:rsidR="00CD292D" w:rsidRDefault="00CD292D" w:rsidP="00CD292D">
      <w:pPr>
        <w:ind w:left="426" w:right="-57" w:hanging="360"/>
      </w:pPr>
      <w:r>
        <w:rPr>
          <w:sz w:val="16"/>
          <w:szCs w:val="16"/>
        </w:rPr>
        <w:t>–</w:t>
      </w:r>
      <w:r>
        <w:rPr>
          <w:sz w:val="14"/>
          <w:szCs w:val="14"/>
        </w:rPr>
        <w:t xml:space="preserve">         </w:t>
      </w:r>
      <w:r>
        <w:t>normy europejskiej,</w:t>
      </w:r>
    </w:p>
    <w:p w:rsidR="00CD292D" w:rsidRDefault="00CD292D" w:rsidP="00CD292D">
      <w:pPr>
        <w:ind w:left="426" w:right="-57" w:hanging="360"/>
      </w:pPr>
      <w:r>
        <w:rPr>
          <w:sz w:val="16"/>
          <w:szCs w:val="16"/>
        </w:rPr>
        <w:t>–</w:t>
      </w:r>
      <w:r>
        <w:rPr>
          <w:sz w:val="14"/>
          <w:szCs w:val="14"/>
        </w:rPr>
        <w:t xml:space="preserve">         </w:t>
      </w:r>
      <w:r>
        <w:t>europejskiej aprobaty technicznej,</w:t>
      </w:r>
    </w:p>
    <w:p w:rsidR="00CD292D" w:rsidRDefault="00CD292D" w:rsidP="00CD292D">
      <w:pPr>
        <w:ind w:left="426" w:right="-57" w:hanging="360"/>
      </w:pPr>
      <w:r>
        <w:rPr>
          <w:sz w:val="16"/>
          <w:szCs w:val="16"/>
        </w:rPr>
        <w:t>–</w:t>
      </w:r>
      <w:r>
        <w:rPr>
          <w:sz w:val="14"/>
          <w:szCs w:val="14"/>
        </w:rPr>
        <w:t xml:space="preserve">         </w:t>
      </w:r>
      <w:r>
        <w:t xml:space="preserve">specyfikacji materiałowych opartych na potwierdzonych pozytywnych zastosowaniach w nawierzchniach asfaltowych. </w:t>
      </w:r>
    </w:p>
    <w:p w:rsidR="00CD292D" w:rsidRDefault="00CD292D" w:rsidP="00CD292D">
      <w:pPr>
        <w:ind w:right="-57" w:firstLine="709"/>
      </w:pPr>
      <w:r>
        <w:t>Wykaz należy dostarczyć w celu udowodnienia przydatności. Wykaz może być oparty na badaniach w połączeniu z dowodami w praktyce.</w:t>
      </w:r>
    </w:p>
    <w:p w:rsidR="00CD292D" w:rsidRDefault="00CD292D" w:rsidP="00CD292D">
      <w:pPr>
        <w:ind w:right="-57" w:firstLine="709"/>
      </w:pPr>
      <w:r>
        <w:t xml:space="preserve">Zaleca się stosowanie do mieszanki mineralno-asfaltowej środka obniżającego temperaturę produkcji i układania. </w:t>
      </w:r>
    </w:p>
    <w:p w:rsidR="00CD292D" w:rsidRDefault="00CD292D" w:rsidP="00CD292D">
      <w:pPr>
        <w:ind w:right="-57" w:firstLine="709"/>
      </w:pPr>
      <w:r>
        <w:t>Do mieszanki mineralno-asfaltowej  może być stosowany dodatek asfaltu naturalnego wg PN-EN 13108-4 [52], załącznik B.  </w:t>
      </w:r>
    </w:p>
    <w:p w:rsidR="00CD292D" w:rsidRDefault="00CD292D" w:rsidP="00CD292D">
      <w:pPr>
        <w:pStyle w:val="Nagwek2"/>
        <w:rPr>
          <w:rFonts w:eastAsia="Times New Roman"/>
        </w:rPr>
      </w:pPr>
      <w:r>
        <w:rPr>
          <w:rFonts w:eastAsia="Times New Roman"/>
        </w:rPr>
        <w:t>2.10. Skład mieszanki mineralno-asfaltowej</w:t>
      </w:r>
    </w:p>
    <w:p w:rsidR="00CD292D" w:rsidRDefault="00CD292D" w:rsidP="00CD292D">
      <w:pPr>
        <w:ind w:firstLine="709"/>
        <w:rPr>
          <w:rFonts w:eastAsiaTheme="minorEastAsia"/>
        </w:rPr>
      </w:pPr>
      <w:r>
        <w:t>Skład mieszanki mineralno-asfaltowej powinien być ustalony na podstawie badań próbek wykonanych zgodnie z normą PN-EN 13108-20 [54] załącznik C oraz normami powiązanymi.  </w:t>
      </w:r>
    </w:p>
    <w:p w:rsidR="00CD292D" w:rsidRDefault="00CD292D" w:rsidP="00CD292D">
      <w:pPr>
        <w:ind w:firstLine="709"/>
      </w:pPr>
      <w:r>
        <w:t>Uziarnienie mieszanki mineralnej oraz minimalna zawartość lepiszcza podane są w tablicy 20.  </w:t>
      </w:r>
    </w:p>
    <w:p w:rsidR="00CD292D" w:rsidRDefault="00CD292D" w:rsidP="00CD292D">
      <w:pPr>
        <w:ind w:firstLine="709"/>
      </w:pPr>
      <w:r>
        <w:t>Próbki powinny spełniać wymagania podane w p. 2.11, w zależności od kategorii ruchu jak i zawartości asfaltu B</w:t>
      </w:r>
      <w:r>
        <w:rPr>
          <w:vertAlign w:val="subscript"/>
        </w:rPr>
        <w:t>min</w:t>
      </w:r>
      <w:r>
        <w:t xml:space="preserve"> i temperatur zagęszczania próbek.</w:t>
      </w:r>
    </w:p>
    <w:p w:rsidR="00CD292D" w:rsidRDefault="00CD292D" w:rsidP="00CD292D">
      <w:pPr>
        <w:spacing w:before="120" w:after="120"/>
        <w:ind w:left="1134" w:hanging="1134"/>
      </w:pPr>
      <w:r>
        <w:t xml:space="preserve">Tablica 20.  Uziarnienie mieszanki mineralnej oraz zawartość lepiszcza do betonu asfaltowego do warstwy wiążącej i wyrównawczej, dla ruchu KR1÷KR7 </w:t>
      </w:r>
    </w:p>
    <w:tbl>
      <w:tblPr>
        <w:tblW w:w="8868" w:type="dxa"/>
        <w:tblCellMar>
          <w:left w:w="0" w:type="dxa"/>
          <w:right w:w="0" w:type="dxa"/>
        </w:tblCellMar>
        <w:tblLook w:val="04A0" w:firstRow="1" w:lastRow="0" w:firstColumn="1" w:lastColumn="0" w:noHBand="0" w:noVBand="1"/>
      </w:tblPr>
      <w:tblGrid>
        <w:gridCol w:w="2268"/>
        <w:gridCol w:w="960"/>
        <w:gridCol w:w="840"/>
        <w:gridCol w:w="840"/>
        <w:gridCol w:w="840"/>
        <w:gridCol w:w="840"/>
        <w:gridCol w:w="840"/>
        <w:gridCol w:w="720"/>
        <w:gridCol w:w="720"/>
      </w:tblGrid>
      <w:tr w:rsidR="00CD292D" w:rsidTr="00CD292D">
        <w:tc>
          <w:tcPr>
            <w:tcW w:w="226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lastRenderedPageBreak/>
              <w:t>Właściwość</w:t>
            </w:r>
          </w:p>
        </w:tc>
        <w:tc>
          <w:tcPr>
            <w:tcW w:w="6600" w:type="dxa"/>
            <w:gridSpan w:val="8"/>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Przesiew,   [% (m/m)]</w:t>
            </w:r>
          </w:p>
        </w:tc>
      </w:tr>
      <w:tr w:rsidR="00CD292D" w:rsidTr="00CD292D">
        <w:tc>
          <w:tcPr>
            <w:tcW w:w="0" w:type="auto"/>
            <w:vMerge/>
            <w:tcBorders>
              <w:top w:val="single" w:sz="8" w:space="0" w:color="auto"/>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AC11W</w:t>
            </w:r>
          </w:p>
          <w:p w:rsidR="00CD292D" w:rsidRDefault="00CD292D">
            <w:pPr>
              <w:jc w:val="center"/>
            </w:pPr>
            <w: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AC16W</w:t>
            </w:r>
          </w:p>
          <w:p w:rsidR="00CD292D" w:rsidRDefault="00CD292D">
            <w:pPr>
              <w:jc w:val="center"/>
            </w:pPr>
            <w: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AC16W</w:t>
            </w:r>
          </w:p>
          <w:p w:rsidR="00CD292D" w:rsidRDefault="00CD292D">
            <w:pPr>
              <w:jc w:val="center"/>
            </w:pPr>
            <w:r>
              <w:t>KR3-KR7</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AC22W</w:t>
            </w:r>
          </w:p>
          <w:p w:rsidR="00CD292D" w:rsidRDefault="00CD292D">
            <w:pPr>
              <w:jc w:val="center"/>
            </w:pPr>
            <w:r>
              <w:t>KR3-KR7</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Wymiar sita #, [mm]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left="70"/>
              <w:jc w:val="center"/>
            </w:pPr>
            <w: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od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do</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70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45</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0,125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0,063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10,0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lepiszcza, minimum</w:t>
            </w:r>
            <w:r>
              <w:rPr>
                <w:vertAlign w:val="superscript"/>
              </w:rPr>
              <w:t>*)</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w:t>
            </w:r>
            <w:r>
              <w:rPr>
                <w:vertAlign w:val="subscript"/>
              </w:rPr>
              <w:t>min4,8</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w:t>
            </w:r>
            <w:r>
              <w:rPr>
                <w:vertAlign w:val="subscript"/>
              </w:rPr>
              <w:t>min4,6</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w:t>
            </w:r>
            <w:r>
              <w:rPr>
                <w:vertAlign w:val="subscript"/>
              </w:rPr>
              <w:t>min4,6</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B</w:t>
            </w:r>
            <w:r>
              <w:rPr>
                <w:vertAlign w:val="subscript"/>
              </w:rPr>
              <w:t>min4,4</w:t>
            </w:r>
          </w:p>
        </w:tc>
      </w:tr>
      <w:tr w:rsidR="00CD292D" w:rsidTr="00CD292D">
        <w:tc>
          <w:tcPr>
            <w:tcW w:w="8868"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168" w:hanging="168"/>
            </w:pPr>
            <w:r>
              <w:rPr>
                <w:sz w:val="18"/>
                <w:szCs w:val="18"/>
                <w:vertAlign w:val="superscript"/>
              </w:rPr>
              <w:t>*)</w:t>
            </w:r>
            <w:r>
              <w:rPr>
                <w:sz w:val="18"/>
                <w:szCs w:val="18"/>
              </w:rPr>
              <w:t xml:space="preserve"> Minimalna zawartość lepiszcza jest określona przy założonej gęstości mieszanki mineralnej 2,650 Mg/m</w:t>
            </w:r>
            <w:r>
              <w:rPr>
                <w:sz w:val="18"/>
                <w:szCs w:val="18"/>
                <w:vertAlign w:val="superscript"/>
              </w:rPr>
              <w:t>3</w:t>
            </w:r>
            <w:r>
              <w:rPr>
                <w:sz w:val="18"/>
                <w:szCs w:val="18"/>
              </w:rPr>
              <w:t>. Jeżeli stosowana mieszanka mineralna ma inną gęstość (</w:t>
            </w:r>
            <w:r>
              <w:rPr>
                <w:i/>
                <w:iCs/>
                <w:sz w:val="18"/>
                <w:szCs w:val="18"/>
              </w:rPr>
              <w:t>ρ</w:t>
            </w:r>
            <w:r>
              <w:rPr>
                <w:sz w:val="18"/>
                <w:szCs w:val="18"/>
                <w:vertAlign w:val="subscript"/>
              </w:rPr>
              <w:t>d</w:t>
            </w:r>
            <w:r>
              <w:rPr>
                <w:sz w:val="18"/>
                <w:szCs w:val="18"/>
              </w:rPr>
              <w:t xml:space="preserve">), to do wyznaczenia minimalnej zawartości lepiszcza podaną wartość należy pomnożyć przez współczynnik </w:t>
            </w:r>
            <w:r>
              <w:rPr>
                <w:noProof/>
                <w:sz w:val="18"/>
                <w:szCs w:val="18"/>
                <w:vertAlign w:val="subscript"/>
                <w:lang w:eastAsia="pl-PL"/>
              </w:rPr>
              <w:drawing>
                <wp:inline distT="0" distB="0" distL="0" distR="0">
                  <wp:extent cx="152400" cy="142875"/>
                  <wp:effectExtent l="0" t="0" r="0" b="9525"/>
                  <wp:docPr id="16" name="Obraz 16" descr="D:\ost\Nawierzchnie\d050305b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D:\ost\Nawierzchnie\d050305b2016_pliki\image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18"/>
                <w:szCs w:val="18"/>
              </w:rPr>
              <w:t xml:space="preserve"> według równania: </w:t>
            </w:r>
            <w:r>
              <w:rPr>
                <w:noProof/>
                <w:sz w:val="16"/>
                <w:szCs w:val="16"/>
                <w:vertAlign w:val="subscript"/>
                <w:lang w:eastAsia="pl-PL"/>
              </w:rPr>
              <w:drawing>
                <wp:inline distT="0" distB="0" distL="0" distR="0">
                  <wp:extent cx="561975" cy="428625"/>
                  <wp:effectExtent l="0" t="0" r="9525" b="9525"/>
                  <wp:docPr id="15" name="Obraz 15" descr="D:\ost\Nawierzchnie\d050305b2016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descr="D:\ost\Nawierzchnie\d050305b2016_pliki\image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CD292D" w:rsidRDefault="00CD292D" w:rsidP="00CD292D">
      <w:pPr>
        <w:pStyle w:val="Nagwek2"/>
        <w:spacing w:before="240"/>
        <w:ind w:left="601" w:hanging="601"/>
        <w:rPr>
          <w:rFonts w:eastAsia="Times New Roman"/>
        </w:rPr>
      </w:pPr>
      <w:r>
        <w:rPr>
          <w:rFonts w:eastAsia="Times New Roman"/>
        </w:rPr>
        <w:t>2.11. Właściwości mieszaki mineralno-asfaltowej do wykonania betonu asfaltowego do warstwy wiążącej i wyrównawczej</w:t>
      </w:r>
    </w:p>
    <w:p w:rsidR="00CD292D" w:rsidRDefault="00CD292D" w:rsidP="00CD292D">
      <w:pPr>
        <w:ind w:firstLine="600"/>
        <w:rPr>
          <w:rFonts w:eastAsiaTheme="minorEastAsia"/>
        </w:rPr>
      </w:pPr>
      <w:r>
        <w:t xml:space="preserve">Wymagane właściwości mieszanki mineralno-asfaltowej podane są w tablicach  21, 22 i 23. </w:t>
      </w:r>
    </w:p>
    <w:p w:rsidR="00CD292D" w:rsidRDefault="00CD292D" w:rsidP="00CD292D">
      <w:pPr>
        <w:spacing w:before="120" w:after="120"/>
        <w:ind w:left="1134" w:hanging="1134"/>
      </w:pPr>
      <w:r>
        <w:t xml:space="preserve">Tablica 21.  Wymagane właściwości mieszanki mineralno-asfaltowej do warstwy wiążącej i wyrównawczej, dla ruchu KR1 ÷ KR2 </w:t>
      </w:r>
    </w:p>
    <w:tbl>
      <w:tblPr>
        <w:tblW w:w="9915" w:type="dxa"/>
        <w:tblCellMar>
          <w:left w:w="0" w:type="dxa"/>
          <w:right w:w="0" w:type="dxa"/>
        </w:tblCellMar>
        <w:tblLook w:val="04A0" w:firstRow="1" w:lastRow="0" w:firstColumn="1" w:lastColumn="0" w:noHBand="0" w:noVBand="1"/>
      </w:tblPr>
      <w:tblGrid>
        <w:gridCol w:w="2268"/>
        <w:gridCol w:w="1835"/>
        <w:gridCol w:w="2835"/>
        <w:gridCol w:w="1559"/>
        <w:gridCol w:w="1418"/>
      </w:tblGrid>
      <w:tr w:rsidR="00CD292D" w:rsidTr="00CD292D">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Właściwość</w:t>
            </w:r>
          </w:p>
        </w:tc>
        <w:tc>
          <w:tcPr>
            <w:tcW w:w="1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Warunki zagęszczania wg PN-EN </w:t>
            </w:r>
          </w:p>
          <w:p w:rsidR="00CD292D" w:rsidRDefault="00CD292D">
            <w:pPr>
              <w:jc w:val="center"/>
            </w:pPr>
            <w:r>
              <w:t>13108-20 [54]</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 i warunki badania</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AC11W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AC16W</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wolnych przestrzeni</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 xml:space="preserve">PN-EN 12697-8 [37], </w:t>
            </w:r>
          </w:p>
          <w:p w:rsidR="00CD292D" w:rsidRDefault="00CD292D">
            <w:pPr>
              <w:jc w:val="center"/>
            </w:pPr>
            <w:r>
              <w:t>p. 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 3,0</w:t>
            </w:r>
          </w:p>
          <w:p w:rsidR="00CD292D" w:rsidRDefault="00CD292D">
            <w:pPr>
              <w:jc w:val="center"/>
            </w:pPr>
            <w:r>
              <w:rPr>
                <w:i/>
                <w:iCs/>
              </w:rPr>
              <w:t>V</w:t>
            </w:r>
            <w:r>
              <w:rPr>
                <w:vertAlign w:val="subscript"/>
              </w:rPr>
              <w:t>max 6,0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 3,0</w:t>
            </w:r>
          </w:p>
          <w:p w:rsidR="00CD292D" w:rsidRDefault="00CD292D">
            <w:pPr>
              <w:jc w:val="center"/>
            </w:pPr>
            <w:r>
              <w:rPr>
                <w:i/>
                <w:iCs/>
              </w:rPr>
              <w:t>V</w:t>
            </w:r>
            <w:r>
              <w:rPr>
                <w:vertAlign w:val="subscript"/>
              </w:rPr>
              <w:t>max 6,0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Wolne przestrzenie wypełnione lepiszczem</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 xml:space="preserve">PN-EN 12697-8 [37], </w:t>
            </w:r>
          </w:p>
          <w:p w:rsidR="00CD292D" w:rsidRDefault="00CD292D">
            <w:pPr>
              <w:jc w:val="center"/>
            </w:pPr>
            <w: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 65</w:t>
            </w:r>
          </w:p>
          <w:p w:rsidR="00CD292D" w:rsidRDefault="00CD292D">
            <w:pPr>
              <w:jc w:val="center"/>
            </w:pPr>
            <w:r>
              <w:rPr>
                <w:i/>
                <w:iCs/>
              </w:rPr>
              <w:t>VFB</w:t>
            </w:r>
            <w:r>
              <w:rPr>
                <w:i/>
                <w:iCs/>
                <w:vertAlign w:val="subscript"/>
              </w:rPr>
              <w:t>max 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VFB</w:t>
            </w:r>
            <w:r>
              <w:rPr>
                <w:i/>
                <w:iCs/>
                <w:vertAlign w:val="subscript"/>
              </w:rPr>
              <w:t>min 60</w:t>
            </w:r>
          </w:p>
          <w:p w:rsidR="00CD292D" w:rsidRDefault="00CD292D">
            <w:pPr>
              <w:jc w:val="center"/>
            </w:pPr>
            <w:r>
              <w:rPr>
                <w:i/>
                <w:iCs/>
              </w:rPr>
              <w:t>VFB</w:t>
            </w:r>
            <w:r>
              <w:rPr>
                <w:i/>
                <w:iCs/>
                <w:vertAlign w:val="subscript"/>
              </w:rPr>
              <w:t>max 80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lastRenderedPageBreak/>
              <w:t>Zawartość wolnych przestrzeni w mieszan-ce mineralnej</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 xml:space="preserve">PN-EN 12697-8 [37], </w:t>
            </w:r>
          </w:p>
          <w:p w:rsidR="00CD292D" w:rsidRDefault="00CD292D">
            <w:pPr>
              <w:jc w:val="center"/>
            </w:pPr>
            <w: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 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VMA</w:t>
            </w:r>
            <w:r>
              <w:rPr>
                <w:i/>
                <w:iCs/>
                <w:vertAlign w:val="subscript"/>
              </w:rPr>
              <w:t>min 14</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C.1.1,ubijanie, 2×35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12697-12 [39], przechowywanie w 40°C z jednym cyklem zamrażania,</w:t>
            </w:r>
            <w:r>
              <w:rPr>
                <w:vertAlign w:val="superscript"/>
              </w:rPr>
              <w:t xml:space="preserve"> </w:t>
            </w:r>
            <w:r>
              <w:t>badanie w 25°C</w:t>
            </w:r>
            <w:r>
              <w:rPr>
                <w:vertAlign w:val="superscript"/>
              </w:rPr>
              <w:t xml:space="preserve"> 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i/>
                <w:iCs/>
              </w:rPr>
              <w:t>ITSR</w:t>
            </w:r>
            <w:r>
              <w:rPr>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rPr>
                <w:i/>
                <w:iCs/>
              </w:rPr>
              <w:t>ITSR</w:t>
            </w:r>
            <w:r>
              <w:rPr>
                <w:vertAlign w:val="subscript"/>
              </w:rPr>
              <w:t>80</w:t>
            </w:r>
          </w:p>
        </w:tc>
      </w:tr>
    </w:tbl>
    <w:p w:rsidR="00CD292D" w:rsidRDefault="00CD292D" w:rsidP="00CD292D">
      <w:pPr>
        <w:ind w:left="284" w:hanging="284"/>
        <w:rPr>
          <w:rFonts w:eastAsiaTheme="minorEastAsia"/>
        </w:rPr>
      </w:pPr>
      <w:r>
        <w:rPr>
          <w:vertAlign w:val="superscript"/>
        </w:rPr>
        <w:t>a)</w:t>
      </w:r>
      <w:r>
        <w:t xml:space="preserve"> ujednoliconą procedurę badania odporności na działanie wody podano w WT-2 2014 w załączniku 1 [82].</w:t>
      </w:r>
    </w:p>
    <w:p w:rsidR="00CD292D" w:rsidRDefault="00CD292D" w:rsidP="00CD292D">
      <w:pPr>
        <w:spacing w:before="120" w:after="120"/>
        <w:ind w:left="1200" w:hanging="1200"/>
      </w:pPr>
      <w:r>
        <w:t xml:space="preserve">Tablica 22. Wymagane właściwości mieszanki mineralno-asfaltowej do warstwy wiążącej i wyrównawczej, dla ruchu KR3 ÷ KR4 </w:t>
      </w:r>
    </w:p>
    <w:tbl>
      <w:tblPr>
        <w:tblW w:w="9915" w:type="dxa"/>
        <w:tblCellMar>
          <w:left w:w="0" w:type="dxa"/>
          <w:right w:w="0" w:type="dxa"/>
        </w:tblCellMar>
        <w:tblLook w:val="04A0" w:firstRow="1" w:lastRow="0" w:firstColumn="1" w:lastColumn="0" w:noHBand="0" w:noVBand="1"/>
      </w:tblPr>
      <w:tblGrid>
        <w:gridCol w:w="2268"/>
        <w:gridCol w:w="1796"/>
        <w:gridCol w:w="2880"/>
        <w:gridCol w:w="1553"/>
        <w:gridCol w:w="1418"/>
      </w:tblGrid>
      <w:tr w:rsidR="00CD292D" w:rsidTr="00CD292D">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Właściwość</w:t>
            </w:r>
          </w:p>
        </w:tc>
        <w:tc>
          <w:tcPr>
            <w:tcW w:w="17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Warunki zagęszczania wg PN-EN </w:t>
            </w:r>
          </w:p>
          <w:p w:rsidR="00CD292D" w:rsidRDefault="00CD292D">
            <w:pPr>
              <w:jc w:val="center"/>
            </w:pPr>
            <w: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 i warunki badania</w:t>
            </w:r>
          </w:p>
        </w:tc>
        <w:tc>
          <w:tcPr>
            <w:tcW w:w="1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AC22W</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wolnych przestrzeni</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jc w:val="center"/>
            </w:pPr>
            <w:r>
              <w:t>PN-EN 12697-8 [37], p. 4</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 4,0</w:t>
            </w:r>
          </w:p>
          <w:p w:rsidR="00CD292D" w:rsidRDefault="00CD292D">
            <w:pPr>
              <w:jc w:val="center"/>
            </w:pPr>
            <w:r>
              <w:rPr>
                <w:i/>
                <w:iCs/>
              </w:rPr>
              <w:t>V</w:t>
            </w:r>
            <w:r>
              <w:rPr>
                <w:vertAlign w:val="subscript"/>
              </w:rPr>
              <w:t>max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 4,0</w:t>
            </w:r>
          </w:p>
          <w:p w:rsidR="00CD292D" w:rsidRDefault="00CD292D">
            <w:pPr>
              <w:jc w:val="center"/>
            </w:pPr>
            <w:r>
              <w:rPr>
                <w:i/>
                <w:iCs/>
              </w:rPr>
              <w:t>V</w:t>
            </w:r>
            <w:r>
              <w:rPr>
                <w:vertAlign w:val="subscript"/>
              </w:rPr>
              <w:t>max 7,0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 xml:space="preserve">Odporność na deformacje trwałe </w:t>
            </w:r>
            <w:r>
              <w:rPr>
                <w:vertAlign w:val="superscript"/>
              </w:rPr>
              <w:t>a)c)</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C.1.20, wałowanie,</w:t>
            </w:r>
          </w:p>
          <w:p w:rsidR="00CD292D" w:rsidRDefault="00CD292D">
            <w:pPr>
              <w:jc w:val="center"/>
            </w:pPr>
            <w:r>
              <w:t>P</w:t>
            </w:r>
            <w:r>
              <w:rPr>
                <w:vertAlign w:val="subscript"/>
              </w:rPr>
              <w:t>98</w:t>
            </w:r>
            <w:r>
              <w:t>-P</w:t>
            </w:r>
            <w:r>
              <w:rPr>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12697-22 [41], metoda B  w powietrzu, PN-EN 13108-20 [54], D.1.6,60°C, 10 000 cykli</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rPr>
                <w:i/>
                <w:iCs/>
              </w:rPr>
              <w:t>WTS</w:t>
            </w:r>
            <w:r>
              <w:rPr>
                <w:vertAlign w:val="subscript"/>
              </w:rPr>
              <w:t>AIR 0,15</w:t>
            </w:r>
          </w:p>
          <w:p w:rsidR="00CD292D" w:rsidRDefault="00CD292D">
            <w:r>
              <w:rPr>
                <w:i/>
                <w:iCs/>
              </w:rPr>
              <w:t>PRD</w:t>
            </w:r>
            <w:r>
              <w:rPr>
                <w:vertAlign w:val="subscript"/>
              </w:rPr>
              <w:t>AIR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WTS</w:t>
            </w:r>
            <w:r>
              <w:rPr>
                <w:vertAlign w:val="subscript"/>
              </w:rPr>
              <w:t>AIR 0,15</w:t>
            </w:r>
          </w:p>
          <w:p w:rsidR="00CD292D" w:rsidRDefault="00CD292D">
            <w:pPr>
              <w:jc w:val="center"/>
            </w:pPr>
            <w:r>
              <w:rPr>
                <w:i/>
                <w:iCs/>
              </w:rPr>
              <w:t>PRD</w:t>
            </w:r>
            <w:r>
              <w:rPr>
                <w:vertAlign w:val="subscript"/>
              </w:rPr>
              <w:t>AIR7,0</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[39], przechowywanie w 40°C z jednym cyklem zamrażania, badanie w 25°C </w:t>
            </w:r>
            <w:r>
              <w:rPr>
                <w:vertAlign w:val="superscript"/>
              </w:rPr>
              <w:t>b)</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w:t>
            </w:r>
            <w:r>
              <w:rPr>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i/>
                <w:iCs/>
                <w:vertAlign w:val="subscript"/>
              </w:rPr>
              <w:t>80</w:t>
            </w:r>
          </w:p>
        </w:tc>
      </w:tr>
    </w:tbl>
    <w:p w:rsidR="00CD292D" w:rsidRDefault="00CD292D" w:rsidP="00CD292D">
      <w:pPr>
        <w:ind w:left="284" w:hanging="284"/>
        <w:rPr>
          <w:rFonts w:eastAsiaTheme="minorEastAsia"/>
        </w:rPr>
      </w:pPr>
      <w:r>
        <w:rPr>
          <w:vertAlign w:val="superscript"/>
        </w:rPr>
        <w:t>a)</w:t>
      </w:r>
      <w:r>
        <w:t>   Grubość płyty: AC16, AC22  60 mm,</w:t>
      </w:r>
    </w:p>
    <w:p w:rsidR="00CD292D" w:rsidRDefault="00CD292D" w:rsidP="00CD292D">
      <w:pPr>
        <w:ind w:left="284" w:hanging="284"/>
      </w:pPr>
      <w:r>
        <w:rPr>
          <w:vertAlign w:val="superscript"/>
        </w:rPr>
        <w:t>b)</w:t>
      </w:r>
      <w:r>
        <w:t>   Ujednoliconą procedurę badania odporności na działanie wody podano w WT-2 2014  w załączniku 1 [82],</w:t>
      </w:r>
    </w:p>
    <w:p w:rsidR="00CD292D" w:rsidRDefault="00CD292D" w:rsidP="00CD292D">
      <w:pPr>
        <w:ind w:left="284" w:hanging="284"/>
      </w:pPr>
      <w:r>
        <w:rPr>
          <w:vertAlign w:val="superscript"/>
        </w:rPr>
        <w:t>c)</w:t>
      </w:r>
      <w:r>
        <w:t>   Procedurę kondycjonowania krótkoterminowego mma przed formowaniem próbek podano w WT-2 2014 w załączniku 2 [83].</w:t>
      </w:r>
    </w:p>
    <w:p w:rsidR="00CD292D" w:rsidRDefault="00CD292D" w:rsidP="00CD292D">
      <w:pPr>
        <w:spacing w:before="240" w:after="120"/>
        <w:ind w:left="1200" w:hanging="1200"/>
      </w:pPr>
      <w:r>
        <w:t xml:space="preserve">Tablica 23. Wymagane właściwości mieszanki mineralno-asfaltowej do warstwy wiążącej i wyrównawczej, dla ruchu KR5 ÷ KR7 </w:t>
      </w:r>
    </w:p>
    <w:tbl>
      <w:tblPr>
        <w:tblW w:w="9915" w:type="dxa"/>
        <w:tblInd w:w="-488" w:type="dxa"/>
        <w:tblCellMar>
          <w:left w:w="0" w:type="dxa"/>
          <w:right w:w="0" w:type="dxa"/>
        </w:tblCellMar>
        <w:tblLook w:val="04A0" w:firstRow="1" w:lastRow="0" w:firstColumn="1" w:lastColumn="0" w:noHBand="0" w:noVBand="1"/>
      </w:tblPr>
      <w:tblGrid>
        <w:gridCol w:w="2268"/>
        <w:gridCol w:w="1800"/>
        <w:gridCol w:w="2880"/>
        <w:gridCol w:w="1549"/>
        <w:gridCol w:w="1418"/>
      </w:tblGrid>
      <w:tr w:rsidR="00CD292D" w:rsidTr="003E5210">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Właściwość</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Warunki zagęszczania wg PN-EN </w:t>
            </w:r>
          </w:p>
          <w:p w:rsidR="00CD292D" w:rsidRDefault="00CD292D">
            <w:pPr>
              <w:jc w:val="center"/>
            </w:pPr>
            <w: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Metoda i warunki badania</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AC22W</w:t>
            </w:r>
          </w:p>
        </w:tc>
      </w:tr>
      <w:tr w:rsidR="00CD292D" w:rsidTr="003E5210">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Zawartość wolnych przestrzeni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jc w:val="center"/>
            </w:pPr>
            <w:r>
              <w:t>PN-EN 12697-8 [37], p. 4</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V</w:t>
            </w:r>
            <w:r>
              <w:rPr>
                <w:vertAlign w:val="subscript"/>
              </w:rPr>
              <w:t>min 4,0</w:t>
            </w:r>
          </w:p>
          <w:p w:rsidR="00CD292D" w:rsidRDefault="00CD292D">
            <w:pPr>
              <w:jc w:val="center"/>
            </w:pPr>
            <w:r>
              <w:rPr>
                <w:i/>
                <w:iCs/>
              </w:rPr>
              <w:lastRenderedPageBreak/>
              <w:t>V</w:t>
            </w:r>
            <w:r>
              <w:rPr>
                <w:vertAlign w:val="subscript"/>
              </w:rPr>
              <w:t>max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lastRenderedPageBreak/>
              <w:t>V</w:t>
            </w:r>
            <w:r>
              <w:rPr>
                <w:vertAlign w:val="subscript"/>
              </w:rPr>
              <w:t>min 4,0</w:t>
            </w:r>
          </w:p>
          <w:p w:rsidR="00CD292D" w:rsidRDefault="00CD292D">
            <w:pPr>
              <w:jc w:val="center"/>
            </w:pPr>
            <w:r>
              <w:rPr>
                <w:i/>
                <w:iCs/>
              </w:rPr>
              <w:lastRenderedPageBreak/>
              <w:t>V</w:t>
            </w:r>
            <w:r>
              <w:rPr>
                <w:vertAlign w:val="subscript"/>
              </w:rPr>
              <w:t>max 7,0</w:t>
            </w:r>
          </w:p>
        </w:tc>
      </w:tr>
      <w:tr w:rsidR="00CD292D" w:rsidTr="003E5210">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lastRenderedPageBreak/>
              <w:t xml:space="preserve">Odporność na deformacje trwałe </w:t>
            </w:r>
            <w:r>
              <w:rPr>
                <w:vertAlign w:val="superscript"/>
              </w:rPr>
              <w:t>a)c)</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C.1.20, wałowanie,</w:t>
            </w:r>
          </w:p>
          <w:p w:rsidR="00CD292D" w:rsidRDefault="00CD292D">
            <w:pPr>
              <w:jc w:val="center"/>
            </w:pPr>
            <w:r>
              <w:t>P</w:t>
            </w:r>
            <w:r>
              <w:rPr>
                <w:vertAlign w:val="subscript"/>
              </w:rPr>
              <w:t>98</w:t>
            </w:r>
            <w:r>
              <w:t>-P</w:t>
            </w:r>
            <w:r>
              <w:rPr>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PN-EN 12697-22 [41], metoda B  w powietrzu, PN-EN 13108-20 [54], D.1.6,60°C, 10 000 cykli</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rPr>
                <w:i/>
                <w:iCs/>
              </w:rPr>
              <w:t>WTS</w:t>
            </w:r>
            <w:r>
              <w:rPr>
                <w:vertAlign w:val="subscript"/>
              </w:rPr>
              <w:t>AIR 0,10</w:t>
            </w:r>
          </w:p>
          <w:p w:rsidR="00CD292D" w:rsidRDefault="00CD292D">
            <w:r>
              <w:rPr>
                <w:i/>
                <w:iCs/>
              </w:rPr>
              <w:t>PRD</w:t>
            </w:r>
            <w:r>
              <w:rPr>
                <w:vertAlign w:val="subscript"/>
              </w:rPr>
              <w:t>AIR 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WTS</w:t>
            </w:r>
            <w:r>
              <w:rPr>
                <w:vertAlign w:val="subscript"/>
              </w:rPr>
              <w:t>AIR 0,10</w:t>
            </w:r>
          </w:p>
          <w:p w:rsidR="00CD292D" w:rsidRDefault="00CD292D">
            <w:pPr>
              <w:jc w:val="center"/>
            </w:pPr>
            <w:r>
              <w:rPr>
                <w:i/>
                <w:iCs/>
              </w:rPr>
              <w:t>PRD</w:t>
            </w:r>
            <w:r>
              <w:rPr>
                <w:vertAlign w:val="subscript"/>
              </w:rPr>
              <w:t>AIR 5,0</w:t>
            </w:r>
          </w:p>
        </w:tc>
      </w:tr>
      <w:tr w:rsidR="00CD292D" w:rsidTr="003E5210">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r>
              <w:t>Odporność na działanie wody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 xml:space="preserve">PN-EN 12697-12 [39], przechowywanie w 40°C z jednym cyklem zamrażania, badanie w 25°C </w:t>
            </w:r>
            <w:r>
              <w:rPr>
                <w:vertAlign w:val="superscript"/>
              </w:rPr>
              <w:t>b)</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rPr>
                <w:i/>
                <w:iCs/>
              </w:rPr>
              <w:t>ITSR</w:t>
            </w:r>
            <w:r>
              <w:rPr>
                <w:i/>
                <w:iCs/>
                <w:vertAlign w:val="subscript"/>
              </w:rPr>
              <w:t>80</w:t>
            </w:r>
          </w:p>
        </w:tc>
      </w:tr>
    </w:tbl>
    <w:p w:rsidR="00CD292D" w:rsidRDefault="00CD292D" w:rsidP="00CD292D">
      <w:pPr>
        <w:ind w:left="284" w:hanging="284"/>
        <w:rPr>
          <w:rFonts w:eastAsiaTheme="minorEastAsia"/>
        </w:rPr>
      </w:pPr>
      <w:r>
        <w:rPr>
          <w:vertAlign w:val="superscript"/>
        </w:rPr>
        <w:t>a)</w:t>
      </w:r>
      <w:r>
        <w:t>   Grubość płyty: AC16P, AC22P 60mm, AC32P 80mm,</w:t>
      </w:r>
    </w:p>
    <w:p w:rsidR="00CD292D" w:rsidRDefault="00CD292D" w:rsidP="00CD292D">
      <w:pPr>
        <w:ind w:left="284" w:hanging="284"/>
      </w:pPr>
      <w:r>
        <w:rPr>
          <w:vertAlign w:val="superscript"/>
        </w:rPr>
        <w:t>b)</w:t>
      </w:r>
      <w:r>
        <w:t>   Ujednoliconą procedurę badania odporności na działanie wody podano w WT-2 2014 w załączniku 1 [82],</w:t>
      </w:r>
    </w:p>
    <w:p w:rsidR="00CD292D" w:rsidRDefault="00CD292D" w:rsidP="00CD292D">
      <w:pPr>
        <w:ind w:left="284" w:hanging="284"/>
      </w:pPr>
      <w:r>
        <w:rPr>
          <w:vertAlign w:val="superscript"/>
        </w:rPr>
        <w:t>c)</w:t>
      </w:r>
      <w:r>
        <w:t>  Procedurę kondycjonowania krótkoterminowego mma przed formowaniem próbek podano w WT-2 2014 w załączniku 2 [83].</w:t>
      </w:r>
    </w:p>
    <w:p w:rsidR="00CD292D" w:rsidRDefault="00CD292D" w:rsidP="00CD292D">
      <w:pPr>
        <w:pStyle w:val="Nagwek1"/>
        <w:rPr>
          <w:rFonts w:eastAsia="Times New Roman"/>
        </w:rPr>
      </w:pPr>
      <w:bookmarkStart w:id="527" w:name="_Toc412707320"/>
      <w:r>
        <w:rPr>
          <w:rFonts w:eastAsia="Times New Roman"/>
        </w:rPr>
        <w:t>3. Sprzęt</w:t>
      </w:r>
      <w:bookmarkEnd w:id="527"/>
    </w:p>
    <w:p w:rsidR="00CD292D" w:rsidRDefault="00CD292D" w:rsidP="00CD292D">
      <w:pPr>
        <w:pStyle w:val="Nagwek2"/>
        <w:rPr>
          <w:rFonts w:eastAsia="Times New Roman"/>
        </w:rPr>
      </w:pPr>
      <w:r>
        <w:rPr>
          <w:rFonts w:eastAsia="Times New Roman"/>
        </w:rPr>
        <w:t>3.1. Ogólne wymagania dotyczące sprzętu</w:t>
      </w:r>
    </w:p>
    <w:p w:rsidR="00CD292D" w:rsidRDefault="00CD292D" w:rsidP="00CD292D">
      <w:pPr>
        <w:rPr>
          <w:rFonts w:eastAsiaTheme="minorEastAsia"/>
        </w:rPr>
      </w:pPr>
      <w:r>
        <w:t>            Ogólne wymagania dotyczące sprzętu podano w OST  D-M-00.00.00 „Wymagania ogólne” [1] pkt 3.</w:t>
      </w:r>
    </w:p>
    <w:p w:rsidR="00CD292D" w:rsidRDefault="00CD292D" w:rsidP="00CD292D">
      <w:pPr>
        <w:pStyle w:val="Nagwek2"/>
        <w:rPr>
          <w:rFonts w:eastAsia="Times New Roman"/>
        </w:rPr>
      </w:pPr>
      <w:r>
        <w:rPr>
          <w:rFonts w:eastAsia="Times New Roman"/>
        </w:rPr>
        <w:t>3.2. Sprzęt stosowany do wykonania robót</w:t>
      </w:r>
    </w:p>
    <w:p w:rsidR="00CD292D" w:rsidRDefault="00CD292D" w:rsidP="00CD292D">
      <w:pPr>
        <w:rPr>
          <w:rFonts w:eastAsiaTheme="minorEastAsia"/>
        </w:rPr>
      </w:pPr>
      <w:r>
        <w:t>            Przy wykonywaniu robót Wykonawca w zależności od potrzeb, powinien wykazać się możliwością korzystania ze sprzętu dostosowanego do przyjętej metody robót, jak:</w:t>
      </w:r>
    </w:p>
    <w:p w:rsidR="00CD292D" w:rsidRDefault="00CD292D" w:rsidP="00CD292D">
      <w:pPr>
        <w:ind w:left="360" w:hanging="360"/>
      </w:pPr>
      <w:r>
        <w:t>a)</w:t>
      </w:r>
      <w:r>
        <w:rPr>
          <w:sz w:val="14"/>
          <w:szCs w:val="14"/>
        </w:rPr>
        <w:t xml:space="preserve">      </w:t>
      </w:r>
      <w:r>
        <w:t>wytwórnia (otaczarka</w:t>
      </w:r>
      <w:r>
        <w:rPr>
          <w:b/>
          <w:bCs/>
        </w:rPr>
        <w:t>)</w:t>
      </w:r>
      <w:r>
        <w:t xml:space="preserve"> o mieszaniu cyklicznym lub ciągłym, z automatycznym komputerowym sterowaniem produkcji, do wytwarzania mieszanek mineralno-asfaltowych.</w:t>
      </w:r>
      <w: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br/>
        <w:t>Wytwórnia powinna być wyposażona w termometry (urządzenia pomiarowe) pozwalające na ciągłe monitorowanie temperatury poszczególnych materiałów, na różnych etapach przygotowywania materiałów, jak i na wyjściu z mieszalnika,</w:t>
      </w:r>
    </w:p>
    <w:p w:rsidR="00CD292D" w:rsidRDefault="00CD292D" w:rsidP="00CD292D">
      <w:pPr>
        <w:ind w:left="795" w:hanging="795"/>
      </w:pPr>
      <w:r>
        <w:t>b)</w:t>
      </w:r>
      <w:r>
        <w:rPr>
          <w:sz w:val="14"/>
          <w:szCs w:val="14"/>
        </w:rPr>
        <w:t xml:space="preserve">      </w:t>
      </w:r>
      <w:r>
        <w:t>układarka gąsienicowa, z elektronicznym sterowaniem równości układanej warstwy,</w:t>
      </w:r>
    </w:p>
    <w:p w:rsidR="00CD292D" w:rsidRDefault="00CD292D" w:rsidP="00CD292D">
      <w:pPr>
        <w:ind w:left="795" w:hanging="795"/>
      </w:pPr>
      <w:r>
        <w:t>c)</w:t>
      </w:r>
      <w:r>
        <w:rPr>
          <w:sz w:val="14"/>
          <w:szCs w:val="14"/>
        </w:rPr>
        <w:t xml:space="preserve">      </w:t>
      </w:r>
      <w:r>
        <w:t>skrapiarka,</w:t>
      </w:r>
    </w:p>
    <w:p w:rsidR="00CD292D" w:rsidRDefault="00CD292D" w:rsidP="00CD292D">
      <w:pPr>
        <w:ind w:left="795" w:hanging="795"/>
      </w:pPr>
      <w:r>
        <w:t>d)</w:t>
      </w:r>
      <w:r>
        <w:rPr>
          <w:sz w:val="14"/>
          <w:szCs w:val="14"/>
        </w:rPr>
        <w:t xml:space="preserve">     </w:t>
      </w:r>
      <w:r>
        <w:t xml:space="preserve">walce stalowe gładkie, </w:t>
      </w:r>
    </w:p>
    <w:p w:rsidR="00CD292D" w:rsidRDefault="00CD292D" w:rsidP="00CD292D">
      <w:pPr>
        <w:ind w:left="795" w:hanging="795"/>
      </w:pPr>
      <w:r>
        <w:t>e)</w:t>
      </w:r>
      <w:r>
        <w:rPr>
          <w:sz w:val="14"/>
          <w:szCs w:val="14"/>
        </w:rPr>
        <w:t xml:space="preserve">      </w:t>
      </w:r>
      <w:r>
        <w:t>lekka rozsypywarka kruszywa,</w:t>
      </w:r>
    </w:p>
    <w:p w:rsidR="00CD292D" w:rsidRDefault="00CD292D" w:rsidP="00CD292D">
      <w:pPr>
        <w:ind w:left="795" w:hanging="795"/>
      </w:pPr>
      <w:r>
        <w:t>f)</w:t>
      </w:r>
      <w:r>
        <w:rPr>
          <w:sz w:val="14"/>
          <w:szCs w:val="14"/>
        </w:rPr>
        <w:t xml:space="preserve">       </w:t>
      </w:r>
      <w:r>
        <w:t>szczotki mechaniczne i/lub inne urządzenia czyszczące,</w:t>
      </w:r>
    </w:p>
    <w:p w:rsidR="00CD292D" w:rsidRDefault="00CD292D" w:rsidP="00CD292D">
      <w:pPr>
        <w:ind w:left="795" w:hanging="795"/>
      </w:pPr>
      <w:r>
        <w:t>g)</w:t>
      </w:r>
      <w:r>
        <w:rPr>
          <w:sz w:val="14"/>
          <w:szCs w:val="14"/>
        </w:rPr>
        <w:t xml:space="preserve">      </w:t>
      </w:r>
      <w:r>
        <w:t>samochody samowyładowcze z przykryciem brezentowym lub termosami,</w:t>
      </w:r>
    </w:p>
    <w:p w:rsidR="00CD292D" w:rsidRDefault="00CD292D" w:rsidP="00CD292D">
      <w:pPr>
        <w:ind w:left="795" w:hanging="795"/>
      </w:pPr>
      <w:r>
        <w:t>h)</w:t>
      </w:r>
      <w:r>
        <w:rPr>
          <w:sz w:val="14"/>
          <w:szCs w:val="14"/>
        </w:rPr>
        <w:t xml:space="preserve">      </w:t>
      </w:r>
      <w:r>
        <w:t>sprzęt drobny.</w:t>
      </w:r>
    </w:p>
    <w:p w:rsidR="00CD292D" w:rsidRDefault="00CD292D" w:rsidP="00CD292D">
      <w:pPr>
        <w:pStyle w:val="Nagwek1"/>
        <w:rPr>
          <w:rFonts w:eastAsia="Times New Roman"/>
        </w:rPr>
      </w:pPr>
      <w:bookmarkStart w:id="528" w:name="_Toc412707321"/>
      <w:r>
        <w:rPr>
          <w:rFonts w:eastAsia="Times New Roman"/>
        </w:rPr>
        <w:lastRenderedPageBreak/>
        <w:t>4. Transport</w:t>
      </w:r>
      <w:bookmarkEnd w:id="528"/>
    </w:p>
    <w:p w:rsidR="00CD292D" w:rsidRDefault="00CD292D" w:rsidP="00CD292D">
      <w:pPr>
        <w:pStyle w:val="Nagwek2"/>
        <w:rPr>
          <w:rFonts w:eastAsia="Times New Roman"/>
        </w:rPr>
      </w:pPr>
      <w:r>
        <w:rPr>
          <w:rFonts w:eastAsia="Times New Roman"/>
        </w:rPr>
        <w:t>4.1. Ogólne wymagania dotyczące transportu</w:t>
      </w:r>
    </w:p>
    <w:p w:rsidR="00CD292D" w:rsidRDefault="00CD292D" w:rsidP="00CD292D">
      <w:pPr>
        <w:rPr>
          <w:rFonts w:eastAsiaTheme="minorEastAsia"/>
        </w:rPr>
      </w:pPr>
      <w:r>
        <w:t xml:space="preserve">            Ogólne wymagania dotyczące transportu podano w OST D-M-00.00.00 „Wymagania ogólne” [1] pkt 4.            </w:t>
      </w:r>
    </w:p>
    <w:p w:rsidR="00CD292D" w:rsidRDefault="00CD292D" w:rsidP="00CD292D">
      <w:pPr>
        <w:pStyle w:val="Nagwek2"/>
        <w:rPr>
          <w:rFonts w:eastAsia="Times New Roman"/>
        </w:rPr>
      </w:pPr>
      <w:r>
        <w:rPr>
          <w:rFonts w:eastAsia="Times New Roman"/>
        </w:rPr>
        <w:t xml:space="preserve">4.2. Transport materiałów </w:t>
      </w:r>
    </w:p>
    <w:p w:rsidR="00CD292D" w:rsidRDefault="00CD292D" w:rsidP="00CD292D">
      <w:pPr>
        <w:rPr>
          <w:rFonts w:eastAsiaTheme="minorEastAsia"/>
        </w:rPr>
      </w:pPr>
      <w:r>
        <w:t>            Asfalt i polimeroasfalt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rsidR="00CD292D" w:rsidRDefault="00CD292D" w:rsidP="00CD292D">
      <w:pPr>
        <w:ind w:firstLine="709"/>
      </w:pPr>
      <w:r>
        <w:t xml:space="preserve">Kruszywa można przewozić dowolnymi środkami transportu, w warunkach zabezpieczających je przed zanieczyszczeniem, zmieszaniem z innymi materiałami i nadmiernym zawilgoceniem. </w:t>
      </w:r>
    </w:p>
    <w:p w:rsidR="00CD292D" w:rsidRDefault="00CD292D" w:rsidP="00CD292D">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CD292D" w:rsidRDefault="00CD292D" w:rsidP="00CD292D">
      <w:pPr>
        <w:ind w:firstLine="709"/>
      </w:pPr>
      <w:r>
        <w:t xml:space="preserve">Środek adhezyjny, w opakowaniu producenta, może być przewożony dowolnymi środkami transportu z uwzględnieniem zaleceń producenta. Opakowanie powinno być zabezpieczone tak, aby nie uległo uszkodzeniu. </w:t>
      </w:r>
    </w:p>
    <w:p w:rsidR="00CD292D" w:rsidRDefault="00CD292D" w:rsidP="00CD292D">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CD292D" w:rsidRDefault="00CD292D" w:rsidP="00CD292D">
      <w:pPr>
        <w:ind w:firstLine="709"/>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CD292D" w:rsidRDefault="00CD292D" w:rsidP="00CD292D">
      <w:pPr>
        <w:ind w:firstLine="709"/>
      </w:pPr>
      <w:r>
        <w:t>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w:t>
      </w:r>
    </w:p>
    <w:p w:rsidR="00CD292D" w:rsidRDefault="00CD292D" w:rsidP="00CD292D">
      <w:pPr>
        <w:pStyle w:val="Nagwek1"/>
        <w:rPr>
          <w:rFonts w:eastAsia="Times New Roman"/>
        </w:rPr>
      </w:pPr>
      <w:bookmarkStart w:id="529" w:name="_Toc412707322"/>
      <w:r>
        <w:rPr>
          <w:rFonts w:eastAsia="Times New Roman"/>
        </w:rPr>
        <w:t>5. Wykonanie robót</w:t>
      </w:r>
      <w:bookmarkEnd w:id="529"/>
    </w:p>
    <w:p w:rsidR="00CD292D" w:rsidRDefault="00CD292D" w:rsidP="00CD292D">
      <w:pPr>
        <w:pStyle w:val="Nagwek2"/>
        <w:rPr>
          <w:rFonts w:eastAsia="Times New Roman"/>
        </w:rPr>
      </w:pPr>
      <w:r>
        <w:rPr>
          <w:rFonts w:eastAsia="Times New Roman"/>
        </w:rPr>
        <w:t>5.1. Ogólne zasady wykonania robót</w:t>
      </w:r>
    </w:p>
    <w:p w:rsidR="00CD292D" w:rsidRDefault="00CD292D" w:rsidP="00CD292D">
      <w:pPr>
        <w:rPr>
          <w:rFonts w:eastAsiaTheme="minorEastAsia"/>
        </w:rPr>
      </w:pPr>
      <w:r>
        <w:t>            Ogólne zasady wykonania robót podano w OST D-M-00.00.00 „Wymagania ogólne” [1] pkt 5.</w:t>
      </w:r>
    </w:p>
    <w:p w:rsidR="00CD292D" w:rsidRDefault="00CD292D" w:rsidP="00CD292D">
      <w:pPr>
        <w:pStyle w:val="Nagwek2"/>
        <w:rPr>
          <w:rFonts w:eastAsia="Times New Roman"/>
        </w:rPr>
      </w:pPr>
      <w:r>
        <w:rPr>
          <w:rFonts w:eastAsia="Times New Roman"/>
        </w:rPr>
        <w:lastRenderedPageBreak/>
        <w:t>5.2. Projektowanie mieszanki mineralno-asfaltowej</w:t>
      </w:r>
    </w:p>
    <w:p w:rsidR="00CD292D" w:rsidRDefault="00CD292D" w:rsidP="00CD292D">
      <w:pPr>
        <w:ind w:right="-59"/>
        <w:rPr>
          <w:rFonts w:eastAsiaTheme="minorEastAsia"/>
        </w:rPr>
      </w:pPr>
      <w:r>
        <w:t>            Przed przystąpieniem do robót Wykonawca dostarczy Inżynierowi do akceptacji projekt składu mieszanki mineralno-asfaltowej (AC11W, AC16W, AC22W),</w:t>
      </w:r>
      <w:r>
        <w:rPr>
          <w:color w:val="000000"/>
        </w:rPr>
        <w:t xml:space="preserve"> wyniki badań laboratoryjnych oraz próbki materiałów pobrane w obecności Inżyniera do wykonania badań kontrolnych przez Zamawiającego.</w:t>
      </w:r>
    </w:p>
    <w:p w:rsidR="00CD292D" w:rsidRDefault="00CD292D" w:rsidP="00CD292D">
      <w:pPr>
        <w:ind w:right="-59" w:firstLine="709"/>
      </w:pPr>
      <w:r>
        <w:rPr>
          <w:color w:val="000000"/>
        </w:rPr>
        <w:t xml:space="preserve">Projekt mieszanki mineralno-asfaltowej powinien określać: </w:t>
      </w:r>
    </w:p>
    <w:p w:rsidR="00CD292D" w:rsidRDefault="00CD292D" w:rsidP="00CD292D">
      <w:pPr>
        <w:ind w:left="425" w:right="-59" w:hanging="425"/>
      </w:pPr>
      <w:r>
        <w:rPr>
          <w:rFonts w:ascii="Symbol" w:hAnsi="Symbol"/>
        </w:rPr>
        <w:t></w:t>
      </w:r>
      <w:r>
        <w:rPr>
          <w:sz w:val="14"/>
          <w:szCs w:val="14"/>
        </w:rPr>
        <w:t xml:space="preserve">          </w:t>
      </w:r>
      <w:r>
        <w:rPr>
          <w:color w:val="000000"/>
        </w:rPr>
        <w:t>źródło wszystkich zastosowanych materiałów,</w:t>
      </w:r>
    </w:p>
    <w:p w:rsidR="00CD292D" w:rsidRDefault="00CD292D" w:rsidP="00CD292D">
      <w:pPr>
        <w:ind w:left="425" w:right="-59" w:hanging="425"/>
      </w:pPr>
      <w:r>
        <w:rPr>
          <w:rFonts w:ascii="Symbol" w:hAnsi="Symbol"/>
        </w:rPr>
        <w:t></w:t>
      </w:r>
      <w:r>
        <w:rPr>
          <w:sz w:val="14"/>
          <w:szCs w:val="14"/>
        </w:rPr>
        <w:t xml:space="preserve">          </w:t>
      </w:r>
      <w:r>
        <w:rPr>
          <w:color w:val="000000"/>
        </w:rPr>
        <w:t>proporcje wszystkich składników mieszanki mineralnej,</w:t>
      </w:r>
    </w:p>
    <w:p w:rsidR="00CD292D" w:rsidRDefault="00CD292D" w:rsidP="00CD292D">
      <w:pPr>
        <w:ind w:left="425" w:right="-59" w:hanging="425"/>
      </w:pPr>
      <w:r>
        <w:rPr>
          <w:rFonts w:ascii="Symbol" w:hAnsi="Symbol"/>
        </w:rPr>
        <w:t></w:t>
      </w:r>
      <w:r>
        <w:rPr>
          <w:sz w:val="14"/>
          <w:szCs w:val="14"/>
        </w:rPr>
        <w:t xml:space="preserve">          </w:t>
      </w:r>
      <w:r>
        <w:rPr>
          <w:color w:val="000000"/>
        </w:rPr>
        <w:t>punkty graniczne uziarnienia,</w:t>
      </w:r>
    </w:p>
    <w:p w:rsidR="00CD292D" w:rsidRDefault="00CD292D" w:rsidP="00CD292D">
      <w:pPr>
        <w:ind w:left="425" w:right="-59" w:hanging="425"/>
      </w:pPr>
      <w:r>
        <w:rPr>
          <w:rFonts w:ascii="Symbol" w:hAnsi="Symbol"/>
        </w:rPr>
        <w:t></w:t>
      </w:r>
      <w:r>
        <w:rPr>
          <w:sz w:val="14"/>
          <w:szCs w:val="14"/>
        </w:rPr>
        <w:t xml:space="preserve">          </w:t>
      </w:r>
      <w:r>
        <w:rPr>
          <w:color w:val="000000"/>
        </w:rPr>
        <w:t>wyniki badań przeprowadzonych w celu określenia właściwości mieszanki i porównanie ich z wymaganiami specyfikacji,</w:t>
      </w:r>
    </w:p>
    <w:p w:rsidR="00CD292D" w:rsidRDefault="00CD292D" w:rsidP="00CD292D">
      <w:pPr>
        <w:ind w:left="425" w:right="-59" w:hanging="425"/>
      </w:pPr>
      <w:r>
        <w:rPr>
          <w:rFonts w:ascii="Symbol" w:hAnsi="Symbol"/>
        </w:rPr>
        <w:t></w:t>
      </w:r>
      <w:r>
        <w:rPr>
          <w:sz w:val="14"/>
          <w:szCs w:val="14"/>
        </w:rPr>
        <w:t xml:space="preserve">          </w:t>
      </w:r>
      <w:r>
        <w:rPr>
          <w:color w:val="000000"/>
        </w:rPr>
        <w:t xml:space="preserve">wyniki badań dotyczących fizycznych właściwości kruszywa, </w:t>
      </w:r>
    </w:p>
    <w:p w:rsidR="00CD292D" w:rsidRDefault="00CD292D" w:rsidP="00CD292D">
      <w:pPr>
        <w:ind w:left="425" w:right="-59" w:hanging="425"/>
      </w:pPr>
      <w:r>
        <w:rPr>
          <w:rFonts w:ascii="Symbol" w:hAnsi="Symbol"/>
        </w:rPr>
        <w:t></w:t>
      </w:r>
      <w:r>
        <w:rPr>
          <w:sz w:val="14"/>
          <w:szCs w:val="14"/>
        </w:rPr>
        <w:t xml:space="preserve">          </w:t>
      </w:r>
      <w:r>
        <w:rPr>
          <w:color w:val="000000"/>
        </w:rPr>
        <w:t xml:space="preserve">temperaturę wytwarzania i układania mieszanki. </w:t>
      </w:r>
    </w:p>
    <w:p w:rsidR="00CD292D" w:rsidRDefault="00CD292D" w:rsidP="00CD292D">
      <w:pPr>
        <w:ind w:firstLine="709"/>
      </w:pPr>
      <w:r>
        <w:t xml:space="preserve">W zagęszczaniu próbek laboratoryjnych mieszanek mineralno-asfaltowych należy stosować następujące temperatury mieszanki w zależności stosowanego asfaltu: </w:t>
      </w:r>
    </w:p>
    <w:p w:rsidR="00CD292D" w:rsidRDefault="00CD292D" w:rsidP="00CD292D">
      <w:pPr>
        <w:ind w:firstLine="709"/>
      </w:pPr>
      <w:r>
        <w:t>35/50 i 50/70: 135°C±5°C,</w:t>
      </w:r>
    </w:p>
    <w:p w:rsidR="00CD292D" w:rsidRDefault="00CD292D" w:rsidP="00CD292D">
      <w:pPr>
        <w:ind w:left="360" w:hanging="303"/>
      </w:pPr>
      <w:r>
        <w:t>–</w:t>
      </w:r>
      <w:r>
        <w:rPr>
          <w:sz w:val="14"/>
          <w:szCs w:val="14"/>
        </w:rPr>
        <w:t xml:space="preserve">      </w:t>
      </w:r>
      <w:r>
        <w:t>MG 50/70-54/64 I MG 35/50-57/69: 140</w:t>
      </w:r>
      <w:r>
        <w:rPr>
          <w:color w:val="000000"/>
          <w:spacing w:val="1"/>
        </w:rPr>
        <w:t>°</w:t>
      </w:r>
      <w:r>
        <w:t>C</w:t>
      </w:r>
      <w:r>
        <w:rPr>
          <w:color w:val="000000"/>
          <w:spacing w:val="1"/>
        </w:rPr>
        <w:t>±5°C,</w:t>
      </w:r>
      <w:r>
        <w:t xml:space="preserve"> </w:t>
      </w:r>
    </w:p>
    <w:p w:rsidR="00CD292D" w:rsidRDefault="00CD292D" w:rsidP="00CD292D">
      <w:pPr>
        <w:ind w:left="360" w:hanging="303"/>
      </w:pPr>
      <w:r>
        <w:t>–</w:t>
      </w:r>
      <w:r>
        <w:rPr>
          <w:sz w:val="14"/>
          <w:szCs w:val="14"/>
        </w:rPr>
        <w:t xml:space="preserve">      </w:t>
      </w:r>
      <w:r>
        <w:t>PMB 25/ 55-60, PMB 25/55-80: 145</w:t>
      </w:r>
      <w:r>
        <w:rPr>
          <w:color w:val="000000"/>
          <w:spacing w:val="1"/>
        </w:rPr>
        <w:t>°</w:t>
      </w:r>
      <w:r>
        <w:t>C</w:t>
      </w:r>
      <w:r>
        <w:rPr>
          <w:color w:val="000000"/>
          <w:spacing w:val="1"/>
        </w:rPr>
        <w:t xml:space="preserve">±5°C. </w:t>
      </w:r>
    </w:p>
    <w:p w:rsidR="00CD292D" w:rsidRDefault="00CD292D" w:rsidP="00CD292D">
      <w:pPr>
        <w:ind w:firstLine="709"/>
      </w:pPr>
      <w:r>
        <w:t xml:space="preserve">Recepta powinna być zaprojektowana dla konkretnych materiałów, zaakceptowanych przez Inżyniera, do wbudowania i przy wykorzystaniu reprezentatywnych próbek tych materiałów.  </w:t>
      </w:r>
    </w:p>
    <w:p w:rsidR="00CD292D" w:rsidRDefault="00CD292D" w:rsidP="00CD292D">
      <w:pPr>
        <w:ind w:firstLine="709"/>
      </w:pPr>
      <w:r>
        <w:t>Jeżeli mieszanka mineralno-asfaltowa jest dostarczana z kilku wytwórni lub od kilku producentów, to należy zapewnić zgodność typu i wymiaru mieszanki oraz spełnienie wymaganej dokumentacji projektowej.</w:t>
      </w:r>
    </w:p>
    <w:p w:rsidR="00CD292D" w:rsidRDefault="00CD292D" w:rsidP="00CD292D">
      <w:pPr>
        <w:ind w:firstLine="709"/>
      </w:pPr>
      <w:r>
        <w:t xml:space="preserve">Każda zmiana składników mieszanki w czasie trwania robót wymaga akceptacji Inżyniera oraz opracowania nowej recepty i jej zatwierdzenia.  </w:t>
      </w:r>
    </w:p>
    <w:p w:rsidR="00CD292D" w:rsidRDefault="00CD292D" w:rsidP="00CD292D">
      <w:pPr>
        <w:ind w:firstLine="709"/>
      </w:pPr>
      <w: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CD292D" w:rsidRDefault="00CD292D" w:rsidP="00CD292D">
      <w:pPr>
        <w:ind w:firstLine="709"/>
      </w:pPr>
      <w: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CD292D" w:rsidRDefault="00CD292D" w:rsidP="00CD292D">
      <w:pPr>
        <w:ind w:firstLine="709"/>
      </w:pPr>
      <w:r>
        <w:t>Zaakceptowana recepta stanowi ważną podstawę produkcji.</w:t>
      </w:r>
    </w:p>
    <w:p w:rsidR="00CD292D" w:rsidRDefault="00CD292D" w:rsidP="00CD292D">
      <w:pPr>
        <w:pStyle w:val="Nagwek2"/>
        <w:rPr>
          <w:rFonts w:eastAsia="Times New Roman"/>
        </w:rPr>
      </w:pPr>
      <w:r>
        <w:rPr>
          <w:rFonts w:eastAsia="Times New Roman"/>
        </w:rPr>
        <w:lastRenderedPageBreak/>
        <w:t>5.3. Wytwarzanie mieszanki mineralno-asfaltowej</w:t>
      </w:r>
    </w:p>
    <w:p w:rsidR="00CD292D" w:rsidRDefault="00CD292D" w:rsidP="00CD292D">
      <w:pPr>
        <w:rPr>
          <w:rFonts w:eastAsiaTheme="minorEastAsia"/>
        </w:rPr>
      </w:pPr>
      <w: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noBreakHyphen/>
        <w:t xml:space="preserve">EN 13108-21 [55]. </w:t>
      </w:r>
    </w:p>
    <w:p w:rsidR="00CD292D" w:rsidRDefault="00CD292D" w:rsidP="00CD292D">
      <w: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CD292D" w:rsidRDefault="00CD292D" w:rsidP="00CD292D">
      <w: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pkcie 2.2.      </w:t>
      </w:r>
    </w:p>
    <w:p w:rsidR="00CD292D" w:rsidRDefault="00CD292D" w:rsidP="00CD292D">
      <w:pPr>
        <w:ind w:firstLine="708"/>
      </w:pPr>
      <w: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CD292D" w:rsidRDefault="00CD292D" w:rsidP="00CD292D">
      <w:pPr>
        <w:ind w:firstLine="709"/>
      </w:pPr>
      <w:r>
        <w:t>Podana temperatura nie znajduje zastosowania do mieszanek mineralno-asfaltowych, do których jest dodawany dodatek w celu obniżenia temperatury jej wytwarzania i wbudowania lub gdy stosowane lepiszcze asfaltowe zawiera taki środek.</w:t>
      </w:r>
    </w:p>
    <w:p w:rsidR="00CD292D" w:rsidRDefault="00CD292D" w:rsidP="00CD292D">
      <w:pPr>
        <w:spacing w:before="120" w:after="120"/>
      </w:pPr>
      <w:r>
        <w:t xml:space="preserve">Tablica 24. Najwyższa i najniższa temperatura mieszanki AC </w:t>
      </w:r>
    </w:p>
    <w:tbl>
      <w:tblPr>
        <w:tblW w:w="0" w:type="auto"/>
        <w:tblInd w:w="113" w:type="dxa"/>
        <w:tblCellMar>
          <w:left w:w="0" w:type="dxa"/>
          <w:right w:w="0" w:type="dxa"/>
        </w:tblCellMar>
        <w:tblLook w:val="04A0" w:firstRow="1" w:lastRow="0" w:firstColumn="1" w:lastColumn="0" w:noHBand="0" w:noVBand="1"/>
      </w:tblPr>
      <w:tblGrid>
        <w:gridCol w:w="2875"/>
        <w:gridCol w:w="3071"/>
      </w:tblGrid>
      <w:tr w:rsidR="00CD292D" w:rsidTr="00CD292D">
        <w:tc>
          <w:tcPr>
            <w:tcW w:w="2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Temperatura mieszanki [°C]</w:t>
            </w:r>
          </w:p>
        </w:tc>
      </w:tr>
      <w:tr w:rsidR="00CD292D" w:rsidTr="00CD292D">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rPr>
                <w:lang w:val="en-US"/>
              </w:rPr>
            </w:pPr>
            <w:r>
              <w:rPr>
                <w:lang w:val="en-US"/>
              </w:rPr>
              <w:t>Asfalt 35/50</w:t>
            </w:r>
          </w:p>
          <w:p w:rsidR="00CD292D" w:rsidRDefault="00CD292D">
            <w:pPr>
              <w:spacing w:before="60"/>
              <w:jc w:val="center"/>
              <w:rPr>
                <w:lang w:val="en-US"/>
              </w:rPr>
            </w:pPr>
            <w:r>
              <w:rPr>
                <w:lang w:val="en-US"/>
              </w:rPr>
              <w:t>Asfalt 50/70</w:t>
            </w:r>
          </w:p>
          <w:p w:rsidR="00CD292D" w:rsidRDefault="00CD292D">
            <w:pPr>
              <w:spacing w:before="60"/>
              <w:jc w:val="center"/>
              <w:rPr>
                <w:lang w:val="en-US"/>
              </w:rPr>
            </w:pPr>
            <w:r>
              <w:rPr>
                <w:lang w:val="en-US"/>
              </w:rPr>
              <w:t>PMB 25/55-60</w:t>
            </w:r>
          </w:p>
          <w:p w:rsidR="00CD292D" w:rsidRDefault="00CD292D">
            <w:pPr>
              <w:spacing w:before="60"/>
              <w:jc w:val="center"/>
              <w:rPr>
                <w:lang w:val="en-US"/>
              </w:rPr>
            </w:pPr>
            <w:r>
              <w:rPr>
                <w:lang w:val="en-US"/>
              </w:rPr>
              <w:t>PMB 25/55-80</w:t>
            </w:r>
          </w:p>
          <w:p w:rsidR="00CD292D" w:rsidRDefault="00CD292D">
            <w:pPr>
              <w:spacing w:before="60"/>
              <w:jc w:val="center"/>
              <w:rPr>
                <w:lang w:val="en-US"/>
              </w:rPr>
            </w:pPr>
            <w:r>
              <w:rPr>
                <w:lang w:val="en-US"/>
              </w:rPr>
              <w:t>MG 50/70-54/64</w:t>
            </w:r>
          </w:p>
          <w:p w:rsidR="00CD292D" w:rsidRDefault="00CD292D">
            <w:pPr>
              <w:spacing w:before="60"/>
              <w:jc w:val="center"/>
            </w:pPr>
            <w:r>
              <w:rPr>
                <w:lang w:val="en-US"/>
              </w:rPr>
              <w:t>MG 35/50-57/69</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jc w:val="center"/>
            </w:pPr>
            <w:r>
              <w:t>od 150 do 190</w:t>
            </w:r>
          </w:p>
          <w:p w:rsidR="00CD292D" w:rsidRDefault="00CD292D">
            <w:pPr>
              <w:spacing w:before="60"/>
              <w:jc w:val="center"/>
            </w:pPr>
            <w:r>
              <w:t>od 140 do 180</w:t>
            </w:r>
          </w:p>
          <w:p w:rsidR="00CD292D" w:rsidRDefault="00CD292D">
            <w:pPr>
              <w:spacing w:before="60"/>
              <w:jc w:val="center"/>
            </w:pPr>
            <w:r>
              <w:t>wg wskazań producenta</w:t>
            </w:r>
          </w:p>
          <w:p w:rsidR="00CD292D" w:rsidRDefault="00CD292D">
            <w:pPr>
              <w:spacing w:before="60"/>
              <w:jc w:val="center"/>
            </w:pPr>
            <w:r>
              <w:t>wg wskazań producenta</w:t>
            </w:r>
          </w:p>
          <w:p w:rsidR="00CD292D" w:rsidRDefault="00CD292D">
            <w:pPr>
              <w:spacing w:before="60"/>
              <w:jc w:val="center"/>
            </w:pPr>
            <w:r>
              <w:t>wg wskazań producenta</w:t>
            </w:r>
          </w:p>
          <w:p w:rsidR="00CD292D" w:rsidRDefault="00CD292D">
            <w:pPr>
              <w:spacing w:before="60"/>
              <w:jc w:val="center"/>
            </w:pPr>
            <w:r>
              <w:t>wg wskazań producenta</w:t>
            </w:r>
          </w:p>
        </w:tc>
      </w:tr>
    </w:tbl>
    <w:p w:rsidR="00CD292D" w:rsidRDefault="00CD292D" w:rsidP="00CD292D">
      <w:pPr>
        <w:ind w:firstLine="709"/>
        <w:rPr>
          <w:rFonts w:eastAsiaTheme="minorEastAsia"/>
        </w:rPr>
      </w:pPr>
      <w:r>
        <w:t> </w:t>
      </w:r>
    </w:p>
    <w:p w:rsidR="00CD292D" w:rsidRDefault="00CD292D" w:rsidP="00CD292D">
      <w:r>
        <w:t>            Sposób i czas mieszania składników mieszanki mineralno-asfaltowej powinny zapewnić równomierne otoczenie kruszywa lepiszczem asfaltowym.</w:t>
      </w:r>
    </w:p>
    <w:p w:rsidR="00CD292D" w:rsidRDefault="00CD292D" w:rsidP="00CD292D">
      <w:pPr>
        <w:ind w:firstLine="709"/>
      </w:pPr>
      <w: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CD292D" w:rsidRDefault="00CD292D" w:rsidP="00CD292D">
      <w:r>
        <w:lastRenderedPageBreak/>
        <w:t>            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CD292D" w:rsidRDefault="00CD292D" w:rsidP="00CD292D">
      <w:pPr>
        <w:ind w:firstLine="709"/>
      </w:pPr>
      <w: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CD292D" w:rsidRDefault="00CD292D" w:rsidP="00CD292D">
      <w:pPr>
        <w:pStyle w:val="Nagwek2"/>
        <w:rPr>
          <w:rFonts w:eastAsia="Times New Roman"/>
        </w:rPr>
      </w:pPr>
      <w:r>
        <w:rPr>
          <w:rFonts w:eastAsia="Times New Roman"/>
        </w:rPr>
        <w:t>5.4. Przygotowanie podłoża</w:t>
      </w:r>
    </w:p>
    <w:p w:rsidR="00CD292D" w:rsidRDefault="00CD292D" w:rsidP="00CD292D">
      <w:pPr>
        <w:rPr>
          <w:rFonts w:eastAsiaTheme="minorEastAsia"/>
        </w:rPr>
      </w:pPr>
      <w:r>
        <w:t>            Podłoże (podbudowa lub stara warstwa ścieralna) pod warstwę wiążącą lub wyrównawczą  z betonu asfaltowego powinno być na całej powierzchni:</w:t>
      </w:r>
    </w:p>
    <w:p w:rsidR="00CD292D" w:rsidRDefault="00CD292D" w:rsidP="00CD292D">
      <w:pPr>
        <w:ind w:left="397" w:hanging="397"/>
      </w:pPr>
      <w:r>
        <w:t>–</w:t>
      </w:r>
      <w:r>
        <w:rPr>
          <w:sz w:val="14"/>
          <w:szCs w:val="14"/>
        </w:rPr>
        <w:t xml:space="preserve">         </w:t>
      </w:r>
      <w:r>
        <w:t>ustabilizowane i nośne,</w:t>
      </w:r>
    </w:p>
    <w:p w:rsidR="00CD292D" w:rsidRDefault="00CD292D" w:rsidP="00CD292D">
      <w:pPr>
        <w:ind w:left="397" w:hanging="397"/>
      </w:pPr>
      <w:r>
        <w:t>–</w:t>
      </w:r>
      <w:r>
        <w:rPr>
          <w:sz w:val="14"/>
          <w:szCs w:val="14"/>
        </w:rPr>
        <w:t xml:space="preserve">         </w:t>
      </w:r>
      <w:r>
        <w:t>czyste, bez zanieczyszczenia lub pozostałości luźnego kruszywa,</w:t>
      </w:r>
    </w:p>
    <w:p w:rsidR="00CD292D" w:rsidRDefault="00CD292D" w:rsidP="00CD292D">
      <w:pPr>
        <w:ind w:left="397" w:hanging="397"/>
      </w:pPr>
      <w:r>
        <w:t>–</w:t>
      </w:r>
      <w:r>
        <w:rPr>
          <w:sz w:val="14"/>
          <w:szCs w:val="14"/>
        </w:rPr>
        <w:t xml:space="preserve">         </w:t>
      </w:r>
      <w:r>
        <w:t>wyprofilowane, równe i bez kolein,</w:t>
      </w:r>
    </w:p>
    <w:p w:rsidR="00CD292D" w:rsidRDefault="00CD292D" w:rsidP="00CD292D">
      <w:pPr>
        <w:ind w:left="397" w:hanging="397"/>
      </w:pPr>
      <w:r>
        <w:t>–</w:t>
      </w:r>
      <w:r>
        <w:rPr>
          <w:sz w:val="14"/>
          <w:szCs w:val="14"/>
        </w:rPr>
        <w:t xml:space="preserve">         </w:t>
      </w:r>
      <w:r>
        <w:t>suche.</w:t>
      </w:r>
    </w:p>
    <w:p w:rsidR="00CD292D" w:rsidRDefault="00CD292D" w:rsidP="00CD292D">
      <w:pPr>
        <w:ind w:firstLine="709"/>
      </w:pPr>
      <w:r>
        <w:t>Rzędne wysokościowe podłoża oraz urządzeń usytuowanych w nawierzchni lub ją ograniczających powinny być zgodne z dokumentacją projektową. Z podłoża powinien być zapewniony odpływ wody.</w:t>
      </w:r>
    </w:p>
    <w:p w:rsidR="00CD292D" w:rsidRDefault="00CD292D" w:rsidP="00CD292D">
      <w:r>
        <w:t>            Oznakowanie poziome na warstwie podłoża należy usunąć.</w:t>
      </w:r>
    </w:p>
    <w:p w:rsidR="00CD292D" w:rsidRDefault="00CD292D" w:rsidP="00CD292D">
      <w:r>
        <w:t xml:space="preserve">            Podłoże pod warstwę ścieralną powinno spełniać wymagania określone w tablicy 25. Jeżeli nierówności poprzeczne są większe aniżeli dopuszczalne, należy odpowiednio wyrównać podłoże poprzez frezowanie lub ułożenie warstwy wyrównawczej. </w:t>
      </w:r>
    </w:p>
    <w:p w:rsidR="00CD292D" w:rsidRDefault="00CD292D" w:rsidP="00CD292D">
      <w:pPr>
        <w:spacing w:before="120" w:after="120"/>
      </w:pPr>
      <w:r>
        <w:t xml:space="preserve">Tablica 25. Maksymalne nierówności podłoża pod warstwę wiążącą </w:t>
      </w:r>
    </w:p>
    <w:tbl>
      <w:tblPr>
        <w:tblW w:w="0" w:type="auto"/>
        <w:tblCellMar>
          <w:left w:w="0" w:type="dxa"/>
          <w:right w:w="0" w:type="dxa"/>
        </w:tblCellMar>
        <w:tblLook w:val="04A0" w:firstRow="1" w:lastRow="0" w:firstColumn="1" w:lastColumn="0" w:noHBand="0" w:noVBand="1"/>
      </w:tblPr>
      <w:tblGrid>
        <w:gridCol w:w="2093"/>
        <w:gridCol w:w="3858"/>
        <w:gridCol w:w="2976"/>
      </w:tblGrid>
      <w:tr w:rsidR="00CD292D" w:rsidTr="00CD292D">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Dopuszczalne wartości odchyleń równości podłużnej i poprzecznej pod warstwę wiążącą [mm]</w:t>
            </w:r>
          </w:p>
        </w:tc>
      </w:tr>
      <w:tr w:rsidR="00CD292D" w:rsidTr="00CD292D">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Pasy ruchu zasadnicze, awaryjne, dodatkowe, </w:t>
            </w:r>
          </w:p>
          <w:p w:rsidR="00CD292D" w:rsidRDefault="00CD292D">
            <w:r>
              <w:t xml:space="preserve">włączenia i wyłączenia, jezdnie łącznic, </w:t>
            </w:r>
          </w:p>
          <w:p w:rsidR="00CD292D" w:rsidRDefault="00CD292D">
            <w: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p w:rsidR="00CD292D" w:rsidRDefault="00CD292D">
            <w:pPr>
              <w:jc w:val="center"/>
            </w:pPr>
            <w:r>
              <w:t>9</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r>
      <w:tr w:rsidR="00CD292D" w:rsidTr="00CD292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Pasy ruchu zasadnicze, </w:t>
            </w:r>
          </w:p>
          <w:p w:rsidR="00CD292D" w:rsidRDefault="00CD292D">
            <w:r>
              <w:t xml:space="preserve">dodatkowe, włączenia </w:t>
            </w:r>
          </w:p>
          <w:p w:rsidR="00CD292D" w:rsidRDefault="00CD292D">
            <w:r>
              <w:t xml:space="preserve">i wyłączenia, postojowe, </w:t>
            </w:r>
          </w:p>
          <w:p w:rsidR="00CD292D" w:rsidRDefault="00CD292D">
            <w:r>
              <w:t xml:space="preserve">utwardzone pobocza </w:t>
            </w:r>
          </w:p>
          <w:p w:rsidR="00CD292D" w:rsidRDefault="00CD292D">
            <w:r>
              <w:lastRenderedPageBreak/>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lastRenderedPageBreak/>
              <w:t>12</w:t>
            </w:r>
          </w:p>
        </w:tc>
      </w:tr>
      <w:tr w:rsidR="00CD292D" w:rsidTr="00CD292D">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Wszystkie pasy ruchu </w:t>
            </w:r>
          </w:p>
          <w:p w:rsidR="00CD292D" w:rsidRDefault="00CD292D">
            <w:r>
              <w:t xml:space="preserve">i powierzchnie </w:t>
            </w:r>
          </w:p>
          <w:p w:rsidR="00CD292D" w:rsidRDefault="00CD292D">
            <w:r>
              <w:t xml:space="preserve">przeznaczone do ruchu </w:t>
            </w:r>
          </w:p>
          <w:p w:rsidR="00CD292D" w:rsidRDefault="00CD292D">
            <w:r>
              <w:t xml:space="preserve">i postoju pojazdów </w:t>
            </w:r>
          </w:p>
          <w:p w:rsidR="00CD292D" w:rsidRDefault="00CD292D">
            <w: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15</w:t>
            </w:r>
          </w:p>
        </w:tc>
      </w:tr>
    </w:tbl>
    <w:p w:rsidR="00CD292D" w:rsidRDefault="00CD292D" w:rsidP="00CD292D">
      <w:pPr>
        <w:spacing w:before="120"/>
        <w:ind w:firstLine="709"/>
        <w:rPr>
          <w:rFonts w:eastAsiaTheme="minorEastAsia"/>
        </w:rPr>
      </w:pPr>
      <w:r>
        <w:t>Nierówności podłoża (w tym powierzchnię istniejącej warstwy wiążącej) należy wyrównać poprzez frezowanie lub wykonanie warstwy wyrównawczej.</w:t>
      </w:r>
    </w:p>
    <w:p w:rsidR="00CD292D" w:rsidRDefault="00CD292D" w:rsidP="00CD292D">
      <w:r>
        <w:t>            Wykonane w podłożu łaty z materiału o mniejszej sztywności (np. łaty z asfaltu lanego w betonie asfaltowym) należy usunąć, a powstałe w ten sposób ubytki wypełnić materiałem o właściwościach zbliżonych do materiału podstawowego.</w:t>
      </w:r>
    </w:p>
    <w:p w:rsidR="00CD292D" w:rsidRDefault="00CD292D" w:rsidP="00CD292D">
      <w:r>
        <w:t>            W celu polepszenia połączenia między warstwami technologicznymi nawierzchni powierzchnia podłoża powinna być w ocenie wizualnej chropowata.</w:t>
      </w:r>
    </w:p>
    <w:p w:rsidR="00CD292D" w:rsidRDefault="00CD292D" w:rsidP="00CD292D">
      <w:r>
        <w:t>            Szerokie szczeliny w podłożu należy wypełnić odpowiednim materiałem, np. zalewami drogowymi według PN-EN 14188-1 [67] lub PN-EN 14188-2 [68] albo innymi materiałami według norm lub aprobat technicznych.</w:t>
      </w:r>
    </w:p>
    <w:p w:rsidR="00CD292D" w:rsidRDefault="00CD292D" w:rsidP="00CD292D">
      <w:r>
        <w:t>            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CD292D" w:rsidRDefault="00CD292D" w:rsidP="00CD292D">
      <w:pPr>
        <w:ind w:firstLine="709"/>
      </w:pPr>
      <w:r>
        <w:t>Przygotowanie podłoża do skropienia emulsją należy wykonać zgodnie z OST D-04.03.01a [2].</w:t>
      </w:r>
    </w:p>
    <w:p w:rsidR="00CD292D" w:rsidRDefault="00CD292D" w:rsidP="00CD292D">
      <w:pPr>
        <w:pStyle w:val="Nagwek2"/>
        <w:rPr>
          <w:rFonts w:eastAsia="Times New Roman"/>
        </w:rPr>
      </w:pPr>
      <w:r>
        <w:rPr>
          <w:rFonts w:eastAsia="Times New Roman"/>
        </w:rPr>
        <w:t>5.5. Próba technologiczna</w:t>
      </w:r>
    </w:p>
    <w:p w:rsidR="00CD292D" w:rsidRDefault="00CD292D" w:rsidP="00CD292D">
      <w:pPr>
        <w:rPr>
          <w:rFonts w:eastAsiaTheme="minorEastAsia"/>
        </w:rPr>
      </w:pPr>
      <w: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CD292D" w:rsidRDefault="00CD292D" w:rsidP="00CD292D">
      <w:r>
        <w:t>            Nie dopuszcza się oceniania dokładności pracy otaczarki oraz prawidłowości składu mieszanki mineralnej na podstawie tzw. suchego zarobu, z uwagi na możliwą segregację kruszywa.</w:t>
      </w:r>
    </w:p>
    <w:p w:rsidR="00CD292D" w:rsidRDefault="00CD292D" w:rsidP="00CD292D">
      <w:pPr>
        <w:ind w:firstLine="709"/>
      </w:pPr>
      <w:r>
        <w:t xml:space="preserve">Do próby technologicznej Wykonawca użyje takich materiałów, jakie będą stosowane do wykonania właściwej mieszanki mineralno-asfaltowej. </w:t>
      </w:r>
    </w:p>
    <w:p w:rsidR="00CD292D" w:rsidRDefault="00CD292D" w:rsidP="00CD292D">
      <w:pPr>
        <w:ind w:firstLine="709"/>
      </w:pPr>
      <w: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CD292D" w:rsidRDefault="00CD292D" w:rsidP="00CD292D">
      <w:pPr>
        <w:ind w:firstLine="709"/>
      </w:pPr>
      <w:r>
        <w:lastRenderedPageBreak/>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CD292D" w:rsidRDefault="00CD292D" w:rsidP="00CD292D">
      <w:r>
        <w:t>            Mieszankę wyprodukowaną po ustabilizowaniu się pracy otaczarki należy zgromadzić w silosie lub załadować na samochód. Próbki do badań należy pobierać ze skrzyni samochodu zgodnie z metodą określoną w PN-EN 12697-27 [44].</w:t>
      </w:r>
    </w:p>
    <w:p w:rsidR="00CD292D" w:rsidRDefault="00CD292D" w:rsidP="00CD292D">
      <w:r>
        <w:t>            Na podstawie uzyskanych wyników Inżynier podejmuje decyzję o wykonaniu odcinka próbnego.</w:t>
      </w:r>
    </w:p>
    <w:p w:rsidR="00CD292D" w:rsidRDefault="00CD292D" w:rsidP="00CD292D">
      <w:pPr>
        <w:pStyle w:val="Nagwek2"/>
        <w:rPr>
          <w:rFonts w:eastAsia="Times New Roman"/>
        </w:rPr>
      </w:pPr>
      <w:r>
        <w:rPr>
          <w:rFonts w:eastAsia="Times New Roman"/>
        </w:rPr>
        <w:t>5.6. Odcinek próbny</w:t>
      </w:r>
    </w:p>
    <w:p w:rsidR="00CD292D" w:rsidRDefault="00CD292D" w:rsidP="00CD292D">
      <w:pPr>
        <w:ind w:firstLine="709"/>
        <w:rPr>
          <w:rFonts w:eastAsiaTheme="minorEastAsia"/>
        </w:rPr>
      </w:pPr>
      <w: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[44]. </w:t>
      </w:r>
    </w:p>
    <w:p w:rsidR="00CD292D" w:rsidRDefault="00CD292D" w:rsidP="00CD292D">
      <w:pPr>
        <w:ind w:firstLine="709"/>
      </w:pPr>
      <w:r>
        <w:t>W przypadku braku innych uzgodnień z Inżynierem, Wykonawca powinien wykonać odcinek próbny co najmniej na trzy dni przed rozpoczęciem robót, w celu:</w:t>
      </w:r>
    </w:p>
    <w:p w:rsidR="00CD292D" w:rsidRDefault="00CD292D" w:rsidP="00CD292D">
      <w:pPr>
        <w:pStyle w:val="Akapitzlist"/>
        <w:spacing w:before="0" w:after="0"/>
        <w:ind w:left="454" w:hanging="397"/>
      </w:pPr>
      <w:r>
        <w:t>–</w:t>
      </w:r>
      <w:r>
        <w:rPr>
          <w:sz w:val="14"/>
          <w:szCs w:val="14"/>
        </w:rPr>
        <w:t xml:space="preserve">         </w:t>
      </w:r>
      <w:r>
        <w:t>sprawdzenia czy użyty sprzęt jest właściwy,</w:t>
      </w:r>
    </w:p>
    <w:p w:rsidR="00CD292D" w:rsidRDefault="00CD292D" w:rsidP="00CD292D">
      <w:pPr>
        <w:pStyle w:val="Akapitzlist"/>
        <w:spacing w:before="0" w:after="0"/>
        <w:ind w:left="454" w:hanging="397"/>
      </w:pPr>
      <w:r>
        <w:t>–</w:t>
      </w:r>
      <w:r>
        <w:rPr>
          <w:sz w:val="14"/>
          <w:szCs w:val="14"/>
        </w:rPr>
        <w:t xml:space="preserve">         </w:t>
      </w:r>
      <w:r>
        <w:t>określenia grubości warstwy mieszanki mineralno-asfaltowej przed zagęszczeniem, koniecznej do uzyskania wymaganej w kontrakcie grubości warstwy,</w:t>
      </w:r>
    </w:p>
    <w:p w:rsidR="00CD292D" w:rsidRDefault="00CD292D" w:rsidP="00CD292D">
      <w:pPr>
        <w:pStyle w:val="Akapitzlist"/>
        <w:spacing w:before="0" w:after="0"/>
        <w:ind w:left="454" w:hanging="397"/>
      </w:pPr>
      <w:r>
        <w:t>–</w:t>
      </w:r>
      <w:r>
        <w:rPr>
          <w:sz w:val="14"/>
          <w:szCs w:val="14"/>
        </w:rPr>
        <w:t xml:space="preserve">         </w:t>
      </w:r>
      <w:r>
        <w:t>określenia potrzebnej liczby przejść walców dla uzyskania prawidłowego zagęszczenia warstwy.</w:t>
      </w:r>
    </w:p>
    <w:p w:rsidR="00CD292D" w:rsidRDefault="00CD292D" w:rsidP="00CD292D">
      <w:pPr>
        <w:ind w:firstLine="709"/>
      </w:pPr>
      <w:r>
        <w:t xml:space="preserve">Do takiej próby Wykonawca powinien użyć takich materiałów oraz sprzętu, jaki stosowany będzie do wykonania warstwy nawierzchni. </w:t>
      </w:r>
    </w:p>
    <w:p w:rsidR="00CD292D" w:rsidRDefault="00CD292D" w:rsidP="00CD292D">
      <w:r>
        <w:t>            Odcinek próbny powinien być zlokalizowany w miejscu uzgodnionym z Inżynierem. Powierzchnia odcinka próbnego powinna wynosić co najmniej 500 m</w:t>
      </w:r>
      <w:r>
        <w:rPr>
          <w:vertAlign w:val="superscript"/>
        </w:rPr>
        <w:t>2</w:t>
      </w:r>
      <w:r>
        <w:t>, a długość co najmniej 50 m i powinny być tak dobrane, aby na jego podstawie możliwa była ocena prawidłowości wbudowania i zagęszczenia mieszanki mineralno-asfaltowej.</w:t>
      </w:r>
    </w:p>
    <w:p w:rsidR="00CD292D" w:rsidRDefault="00CD292D" w:rsidP="00CD292D">
      <w:pPr>
        <w:ind w:firstLine="709"/>
      </w:pPr>
      <w: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CD292D" w:rsidRDefault="00CD292D" w:rsidP="00CD292D">
      <w:pPr>
        <w:ind w:firstLine="709"/>
      </w:pPr>
      <w:r>
        <w:t>Dopuszcza się, aby za zgodą Inżyniera, odcinek próbny zlokalizowany był w ciągu zasadniczych prac nawierzchniowych objętych danym kontraktem.</w:t>
      </w:r>
    </w:p>
    <w:p w:rsidR="00CD292D" w:rsidRDefault="00CD292D" w:rsidP="00CD292D">
      <w:r>
        <w:t>            Wykonawca może przystąpić do realizacji robót po zaakceptowaniu przez Inżyniera technologii wbudowania oraz wyników z odcinka próbnego.</w:t>
      </w:r>
    </w:p>
    <w:p w:rsidR="00CD292D" w:rsidRDefault="00CD292D" w:rsidP="00CD292D">
      <w:pPr>
        <w:pStyle w:val="Nagwek2"/>
        <w:rPr>
          <w:rFonts w:eastAsia="Times New Roman"/>
        </w:rPr>
      </w:pPr>
      <w:r>
        <w:rPr>
          <w:rFonts w:eastAsia="Times New Roman"/>
        </w:rPr>
        <w:t>5.7. Połączenie międzywarstwowe</w:t>
      </w:r>
    </w:p>
    <w:p w:rsidR="00CD292D" w:rsidRDefault="00CD292D" w:rsidP="00CD292D">
      <w:pPr>
        <w:rPr>
          <w:rFonts w:eastAsiaTheme="minorEastAsia"/>
        </w:rPr>
      </w:pPr>
      <w:r>
        <w:t>            Uzyskanie wymaganej trwałości nawierzchni jest uzależnione od zapewnienia połączenia między warstwami i ich współpracy w przenoszeniu obciążenia nawierzchni ruchem.</w:t>
      </w:r>
    </w:p>
    <w:p w:rsidR="00CD292D" w:rsidRDefault="00CD292D" w:rsidP="00CD292D">
      <w:r>
        <w:t>            Podłoże powinno być skropione lepiszczem. Ma to na celu zwiększenie połączenia między warstwami konstrukcyjnymi oraz zabezpieczenie przed wnikaniem i zaleganiem wody między warstwami.</w:t>
      </w:r>
    </w:p>
    <w:p w:rsidR="00CD292D" w:rsidRDefault="00CD292D" w:rsidP="00CD292D">
      <w:r>
        <w:lastRenderedPageBreak/>
        <w:t>            Warunki wykonania połączenia międzywarstwowego oraz kontrola wykonania skropienia zostały przedstawione w OST D-04.03.01a [2].</w:t>
      </w:r>
    </w:p>
    <w:p w:rsidR="00CD292D" w:rsidRDefault="00CD292D" w:rsidP="00CD292D">
      <w:pPr>
        <w:pStyle w:val="Nagwek2"/>
        <w:rPr>
          <w:rFonts w:eastAsia="Times New Roman"/>
        </w:rPr>
      </w:pPr>
      <w:r>
        <w:rPr>
          <w:rFonts w:eastAsia="Times New Roman"/>
        </w:rPr>
        <w:t>5.8. Wbudowanie mieszanki mineralno-asfaltowej</w:t>
      </w:r>
    </w:p>
    <w:p w:rsidR="00CD292D" w:rsidRDefault="00CD292D" w:rsidP="00CD292D">
      <w:pPr>
        <w:ind w:firstLine="709"/>
        <w:rPr>
          <w:rFonts w:eastAsiaTheme="minorEastAsia"/>
        </w:rPr>
      </w:pPr>
      <w:r>
        <w:t>Przy doborze rodzaju mieszanki mineralno-asfaltowej do układu warstw konstrukcyjnych należy zachować zasadę mówiącą, że grubość warstwy musi być co najmniej dwuipółkrotnie większa od wymiaru D kruszywa danej mieszanki (h ≥ 2,5xD).</w:t>
      </w:r>
    </w:p>
    <w:p w:rsidR="00CD292D" w:rsidRDefault="00CD292D" w:rsidP="00CD292D">
      <w:pPr>
        <w:ind w:firstLine="709"/>
      </w:pPr>
      <w: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CD292D" w:rsidRDefault="00CD292D" w:rsidP="00CD292D">
      <w:pPr>
        <w:ind w:firstLine="709"/>
      </w:pPr>
      <w:r>
        <w:t xml:space="preserve">Mieszankę mineralno-asfaltową można wbudowywać na podłożu przygotowanym zgodnie z zapisami w punktach 5.4 i 5.7. </w:t>
      </w:r>
    </w:p>
    <w:p w:rsidR="00CD292D" w:rsidRDefault="00CD292D" w:rsidP="00CD292D">
      <w:pPr>
        <w:ind w:firstLine="709"/>
      </w:pPr>
      <w:r>
        <w:t>Temperatura podłoża pod rozkładaną warstwę nie może być niższa niż  +5°C.</w:t>
      </w:r>
    </w:p>
    <w:p w:rsidR="00CD292D" w:rsidRDefault="00CD292D" w:rsidP="00CD292D">
      <w:r>
        <w:t>            Transport mieszanki mineralno-asfaltowej asfaltowej powinien być zgodny z zaleceniami podanymi w punkcie 4.2.</w:t>
      </w:r>
    </w:p>
    <w:p w:rsidR="00CD292D" w:rsidRDefault="00CD292D" w:rsidP="00CD292D">
      <w:pPr>
        <w:ind w:firstLine="709"/>
      </w:pPr>
      <w:r>
        <w:t xml:space="preserve">Prace związane z wbudowaniem mieszanki mineralno-asfaltowej należy tak aaplanować, aby: </w:t>
      </w:r>
    </w:p>
    <w:p w:rsidR="00CD292D" w:rsidRDefault="00CD292D" w:rsidP="00CD292D">
      <w:pPr>
        <w:ind w:left="426" w:hanging="360"/>
      </w:pPr>
      <w:r>
        <w:rPr>
          <w:sz w:val="16"/>
          <w:szCs w:val="16"/>
        </w:rPr>
        <w:t>–</w:t>
      </w:r>
      <w:r>
        <w:rPr>
          <w:sz w:val="14"/>
          <w:szCs w:val="14"/>
        </w:rPr>
        <w:t xml:space="preserve">         </w:t>
      </w:r>
      <w: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CD292D" w:rsidRDefault="00CD292D" w:rsidP="00CD292D">
      <w:pPr>
        <w:ind w:left="426" w:hanging="360"/>
      </w:pPr>
      <w:r>
        <w:rPr>
          <w:sz w:val="16"/>
          <w:szCs w:val="16"/>
        </w:rPr>
        <w:t>–</w:t>
      </w:r>
      <w:r>
        <w:rPr>
          <w:sz w:val="14"/>
          <w:szCs w:val="14"/>
        </w:rPr>
        <w:t xml:space="preserve">         </w:t>
      </w:r>
      <w:r>
        <w:t xml:space="preserve">dzienne działki robocze (tj. odcinki nawierzchni na których mieszanka mineralno-asfaltowa jest wbudowywana jednego dnia) powinny być możliwie jak najdłuższe min. 200 m, </w:t>
      </w:r>
    </w:p>
    <w:p w:rsidR="00CD292D" w:rsidRDefault="00CD292D" w:rsidP="00CD292D">
      <w:pPr>
        <w:ind w:left="426" w:hanging="360"/>
      </w:pPr>
      <w:r>
        <w:rPr>
          <w:sz w:val="16"/>
          <w:szCs w:val="16"/>
        </w:rPr>
        <w:t>–</w:t>
      </w:r>
      <w:r>
        <w:rPr>
          <w:sz w:val="14"/>
          <w:szCs w:val="14"/>
        </w:rPr>
        <w:t xml:space="preserve">         </w:t>
      </w:r>
      <w:r>
        <w:t xml:space="preserve">organizacja dostaw mieszanki powinna zapewnić pracę rozkładarki bez zatrzymań. </w:t>
      </w:r>
    </w:p>
    <w:p w:rsidR="00CD292D" w:rsidRDefault="00CD292D" w:rsidP="00CD292D">
      <w:pPr>
        <w:ind w:firstLine="709"/>
      </w:pPr>
      <w:r>
        <w:t>Mieszankę mineralno-asfaltową asfaltową należy wbudowywać w odpowiednich warunkach atmosferycznych. Nie wolno wbudowywać betonu asfaltowego, gdy na podłożu tworzy się zamknięty film wodny.</w:t>
      </w:r>
    </w:p>
    <w:p w:rsidR="00CD292D" w:rsidRDefault="00CD292D" w:rsidP="00CD292D">
      <w:pPr>
        <w:spacing w:before="120"/>
      </w:pPr>
      <w:r>
        <w:t xml:space="preserve">            Temperatura otoczenia w ciągu doby nie powinna być niższa od temperatury podanej w tablicy 26. Temperatura otoczenia może być niższa w wypadku stosowania ogrzewania podłoża i obramowania (np. promienniki podczerwieni, urządzenia mikrofalowe). </w:t>
      </w:r>
      <w:r>
        <w:rPr>
          <w:color w:val="000000"/>
        </w:rPr>
        <w:t xml:space="preserve">Temperatura powietrza powinna być mierzona co najmniej 3 razy dziennie: przed przystąpieniem do robót oraz podczas ich wykonywania w okresach równomiernie rozłożonych w planowanym czasie realizacji dziennej działki roboczej. </w:t>
      </w:r>
      <w:r>
        <w:t>Nie dopuszcza się układania mieszanki mineralno-asfaltowej asfaltowej podczas silnego wiatru (V &gt; 16 m/s).</w:t>
      </w:r>
    </w:p>
    <w:p w:rsidR="00CD292D" w:rsidRDefault="00CD292D" w:rsidP="00CD292D">
      <w:pPr>
        <w:ind w:firstLine="709"/>
      </w:pPr>
      <w: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rsidR="00CD292D" w:rsidRDefault="00CD292D" w:rsidP="00CD292D">
      <w:r>
        <w:t>            W wypadku stosowania mieszanek mineralno-asfaltowych z dodatkiem obniżającym temperaturę mieszania i wbudowania, należy indywidualnie określić wymagane warunki otoczenia.</w:t>
      </w:r>
    </w:p>
    <w:p w:rsidR="00CD292D" w:rsidRDefault="00CD292D" w:rsidP="00CD292D">
      <w:pPr>
        <w:spacing w:before="120" w:after="120"/>
        <w:ind w:left="1320" w:hanging="1320"/>
      </w:pPr>
      <w:r>
        <w:lastRenderedPageBreak/>
        <w:t>Tablica 26. Minimalna temperatura otoczenia na wysokości 2 m podczas wykonywania warstwy wiążącej lub wyrównawczej z betonu asfaltowego</w:t>
      </w:r>
    </w:p>
    <w:tbl>
      <w:tblPr>
        <w:tblW w:w="0" w:type="auto"/>
        <w:tblCellMar>
          <w:left w:w="0" w:type="dxa"/>
          <w:right w:w="0" w:type="dxa"/>
        </w:tblCellMar>
        <w:tblLook w:val="04A0" w:firstRow="1" w:lastRow="0" w:firstColumn="1" w:lastColumn="0" w:noHBand="0" w:noVBand="1"/>
      </w:tblPr>
      <w:tblGrid>
        <w:gridCol w:w="3227"/>
        <w:gridCol w:w="4284"/>
      </w:tblGrid>
      <w:tr w:rsidR="00CD292D" w:rsidTr="00CD292D">
        <w:trPr>
          <w:trHeight w:val="473"/>
        </w:trPr>
        <w:tc>
          <w:tcPr>
            <w:tcW w:w="32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Rodzaj robót</w:t>
            </w:r>
          </w:p>
        </w:tc>
        <w:tc>
          <w:tcPr>
            <w:tcW w:w="4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after="120"/>
              <w:jc w:val="center"/>
            </w:pPr>
            <w:r>
              <w:t>Minimalna temperatura otoczenia, °C</w:t>
            </w:r>
          </w:p>
        </w:tc>
      </w:tr>
      <w:tr w:rsidR="00CD292D" w:rsidTr="00CD292D">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Warstwa wiążąca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w:t>
            </w:r>
          </w:p>
        </w:tc>
      </w:tr>
      <w:tr w:rsidR="00CD292D" w:rsidTr="00CD292D">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Warstwa wyrównawcza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0</w:t>
            </w:r>
          </w:p>
        </w:tc>
      </w:tr>
    </w:tbl>
    <w:p w:rsidR="00CD292D" w:rsidRDefault="00CD292D" w:rsidP="00CD292D">
      <w:pPr>
        <w:spacing w:before="120"/>
        <w:rPr>
          <w:rFonts w:eastAsiaTheme="minorEastAsia"/>
        </w:rPr>
      </w:pPr>
      <w:r>
        <w:t>            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CD292D" w:rsidRDefault="00CD292D" w:rsidP="00CD292D">
      <w:pPr>
        <w:ind w:firstLine="709"/>
      </w:pPr>
      <w:r>
        <w:t>Przy wykonywaniu nawierzchni dróg w kategorii KR6-7 zaleca się stosowanie do wykonania warstwy wiążącej  podajników mieszanki mineralno-asfaltowej do zasilania kosza rozkładarki ze środków transportu.</w:t>
      </w:r>
    </w:p>
    <w:p w:rsidR="00CD292D" w:rsidRDefault="00CD292D" w:rsidP="00CD292D">
      <w:r>
        <w:t>Grubość wykonywanej warstwy powinna być sprawdzana co 25 m, w co najmniej trzech miejscach (w osi i przy brzegach warstwy).</w:t>
      </w:r>
    </w:p>
    <w:p w:rsidR="00CD292D" w:rsidRDefault="00CD292D" w:rsidP="00CD292D">
      <w:r>
        <w:t>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rsidR="00CD292D" w:rsidRDefault="00CD292D" w:rsidP="00CD292D">
      <w:pPr>
        <w:ind w:firstLine="709"/>
      </w:pPr>
      <w: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CD292D" w:rsidRDefault="00CD292D" w:rsidP="00CD292D">
      <w:r>
        <w:t>            Grubość wykonywanej warstwy powinna być sprawdzana co 25 m, w co najmniej trzech miejscach (w osi i przy brzegach warstwy).</w:t>
      </w:r>
    </w:p>
    <w:p w:rsidR="00CD292D" w:rsidRDefault="00CD292D" w:rsidP="00CD292D">
      <w:pPr>
        <w:pStyle w:val="Nagwek2"/>
        <w:rPr>
          <w:rFonts w:eastAsia="Times New Roman"/>
        </w:rPr>
      </w:pPr>
      <w:r>
        <w:rPr>
          <w:rFonts w:eastAsia="Times New Roman"/>
        </w:rPr>
        <w:t>5.9. Połączenia technologiczne</w:t>
      </w:r>
    </w:p>
    <w:p w:rsidR="00CD292D" w:rsidRDefault="00CD292D" w:rsidP="00CD292D">
      <w:pPr>
        <w:ind w:firstLine="709"/>
        <w:rPr>
          <w:rFonts w:eastAsiaTheme="minorEastAsia"/>
        </w:rPr>
      </w:pPr>
      <w:r>
        <w:t>Połączenia technologiczne należy wykonywać jako:</w:t>
      </w:r>
    </w:p>
    <w:p w:rsidR="00CD292D" w:rsidRDefault="00CD292D" w:rsidP="00CD292D">
      <w:pPr>
        <w:ind w:left="454" w:hanging="397"/>
      </w:pPr>
      <w:r>
        <w:t>–</w:t>
      </w:r>
      <w:r>
        <w:rPr>
          <w:sz w:val="14"/>
          <w:szCs w:val="14"/>
        </w:rPr>
        <w:t xml:space="preserve">         </w:t>
      </w:r>
      <w:r>
        <w:t>złącza podłużne i poprzeczne (wg definicji p. 1.4.18.),</w:t>
      </w:r>
    </w:p>
    <w:p w:rsidR="00CD292D" w:rsidRDefault="00CD292D" w:rsidP="00CD292D">
      <w:pPr>
        <w:ind w:left="454" w:hanging="397"/>
      </w:pPr>
      <w:r>
        <w:t>–</w:t>
      </w:r>
      <w:r>
        <w:rPr>
          <w:sz w:val="14"/>
          <w:szCs w:val="14"/>
        </w:rPr>
        <w:t xml:space="preserve">         </w:t>
      </w:r>
      <w:r>
        <w:t>spoiny (wg definicji p.1.4.19.).</w:t>
      </w:r>
    </w:p>
    <w:p w:rsidR="00CD292D" w:rsidRDefault="00CD292D" w:rsidP="00CD292D">
      <w:pPr>
        <w:ind w:firstLine="709"/>
      </w:pPr>
      <w:r>
        <w:t xml:space="preserve">Połączenia technologiczne powinny być jednorodne i szczelne.   </w:t>
      </w:r>
    </w:p>
    <w:p w:rsidR="00CD292D" w:rsidRDefault="00CD292D" w:rsidP="00CD292D">
      <w:pPr>
        <w:spacing w:before="120" w:after="120"/>
      </w:pPr>
      <w:r>
        <w:rPr>
          <w:b/>
          <w:bCs/>
        </w:rPr>
        <w:t>5.9.1.</w:t>
      </w:r>
      <w:r>
        <w:t xml:space="preserve"> Wykonanie złączy</w:t>
      </w:r>
    </w:p>
    <w:p w:rsidR="00CD292D" w:rsidRDefault="00CD292D" w:rsidP="00CD292D">
      <w:pPr>
        <w:spacing w:after="120"/>
      </w:pPr>
      <w:r>
        <w:t>5.9.1.1. Sposób wykonania złączy-wymagania ogólne</w:t>
      </w:r>
    </w:p>
    <w:p w:rsidR="00CD292D" w:rsidRDefault="00CD292D" w:rsidP="00CD292D">
      <w:pPr>
        <w:ind w:firstLine="709"/>
      </w:pPr>
      <w:r>
        <w:t>Złącza w warstwach nawierzchni powinny być wykonywane w linii prostej.</w:t>
      </w:r>
    </w:p>
    <w:p w:rsidR="00CD292D" w:rsidRDefault="00CD292D" w:rsidP="00CD292D">
      <w:pPr>
        <w:ind w:firstLine="709"/>
      </w:pPr>
      <w: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rsidR="00CD292D" w:rsidRDefault="00CD292D" w:rsidP="00CD292D">
      <w:pPr>
        <w:ind w:firstLine="709"/>
      </w:pPr>
      <w:r>
        <w:lastRenderedPageBreak/>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rsidR="00CD292D" w:rsidRDefault="00CD292D" w:rsidP="00CD292D">
      <w:pPr>
        <w:ind w:firstLine="709"/>
      </w:pPr>
      <w:r>
        <w:t>Złącza powinny być całkowicie związane, a powierzchnie przylegających warstw powinny być w jednym poziomie.</w:t>
      </w:r>
    </w:p>
    <w:p w:rsidR="00CD292D" w:rsidRDefault="00CD292D" w:rsidP="00CD292D">
      <w:pPr>
        <w:spacing w:before="120" w:after="120"/>
      </w:pPr>
      <w:r>
        <w:t>5.9.1.2. Technologia rozkładania „gorące przy gorącym”</w:t>
      </w:r>
    </w:p>
    <w:p w:rsidR="00CD292D" w:rsidRDefault="00CD292D" w:rsidP="00CD292D">
      <w:pPr>
        <w:ind w:firstLine="709"/>
      </w:pPr>
      <w: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CD292D" w:rsidRDefault="00CD292D" w:rsidP="00CD292D">
      <w:r>
        <w:t>Walce zagęszczające mieszankę za każdą rozkładarką powinny być o zbliżonych parametrach. Zagęszczanie każdego z pasów należy rozpoczynać od zewnętrznej krawędzi pasa i stopniowo zagęszczać pas w kierunku złącza.</w:t>
      </w:r>
    </w:p>
    <w:p w:rsidR="00CD292D" w:rsidRDefault="00CD292D" w:rsidP="00CD292D">
      <w:pPr>
        <w:ind w:firstLine="709"/>
      </w:pPr>
      <w:r>
        <w:t>Przy tej metodzie nie stosuje się dodatkowych materiałów do złączy.</w:t>
      </w:r>
    </w:p>
    <w:p w:rsidR="00CD292D" w:rsidRDefault="00CD292D" w:rsidP="00CD292D">
      <w:pPr>
        <w:spacing w:before="120" w:after="120"/>
      </w:pPr>
      <w:r>
        <w:t xml:space="preserve"> 5.9.1.3. Technologia rozkładania „gorące przy zimnym” </w:t>
      </w:r>
    </w:p>
    <w:p w:rsidR="00CD292D" w:rsidRDefault="00CD292D" w:rsidP="00CD292D">
      <w:pPr>
        <w:ind w:firstLine="709"/>
      </w:pPr>
      <w: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CD292D" w:rsidRDefault="00CD292D" w:rsidP="00CD292D">
      <w:pPr>
        <w:ind w:firstLine="709"/>
      </w:pPr>
      <w: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CD292D" w:rsidRDefault="00CD292D" w:rsidP="00CD292D">
      <w:pPr>
        <w:ind w:firstLine="709"/>
      </w:pPr>
      <w: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CD292D" w:rsidRDefault="00CD292D" w:rsidP="00CD292D">
      <w:pPr>
        <w:ind w:firstLine="709"/>
      </w:pPr>
      <w:r>
        <w:t>Drugi pas powinien być wykonywany z zakładem 2-3 cm licząc od górnej krawędzi złącza, zachodzącym na pas wykonany wcześniej.</w:t>
      </w:r>
    </w:p>
    <w:p w:rsidR="00CD292D" w:rsidRDefault="00CD292D" w:rsidP="00CD292D">
      <w:pPr>
        <w:spacing w:before="120" w:after="120"/>
      </w:pPr>
      <w:r>
        <w:t xml:space="preserve">5.9.1.4. Zakończenie działki roboczej </w:t>
      </w:r>
    </w:p>
    <w:p w:rsidR="00CD292D" w:rsidRDefault="00CD292D" w:rsidP="00CD292D">
      <w:pPr>
        <w:ind w:firstLine="709"/>
      </w:pPr>
      <w:r>
        <w:t>Zakończenie działki roboczej należy wykonać w sposób i przy pomocy urządzeń zapewniających uzyskanie nieregularnej powierzchni spoiny (przy pomocy wstawianej</w:t>
      </w:r>
    </w:p>
    <w:p w:rsidR="00CD292D" w:rsidRDefault="00CD292D" w:rsidP="00CD292D">
      <w:r>
        <w:t>kantówki lub frezarki). Zakończenie działki roboczej należy wykonać prostopadle do osi drogi.</w:t>
      </w:r>
    </w:p>
    <w:p w:rsidR="00CD292D" w:rsidRDefault="00CD292D" w:rsidP="00CD292D">
      <w:pPr>
        <w:ind w:firstLine="709"/>
      </w:pPr>
      <w:r>
        <w:t>Krawędź działki roboczej jest równocześnie krawędzią poprzeczną złącza.</w:t>
      </w:r>
    </w:p>
    <w:p w:rsidR="00CD292D" w:rsidRDefault="00CD292D" w:rsidP="00CD292D">
      <w:pPr>
        <w:ind w:firstLine="709"/>
      </w:pPr>
      <w:r>
        <w:lastRenderedPageBreak/>
        <w:t>Złącza poprzeczne między działkami roboczymi układanych pasów kolejnych warstw technologicznych należy przesunąć względem siebie o co najmniej 3 m w kierunku podłużnym do osi jezdni.</w:t>
      </w:r>
    </w:p>
    <w:p w:rsidR="00CD292D" w:rsidRDefault="00CD292D" w:rsidP="00CD292D">
      <w:pPr>
        <w:keepNext/>
        <w:spacing w:before="120" w:after="120"/>
      </w:pPr>
      <w:r>
        <w:t>5.9.1.5.</w:t>
      </w:r>
      <w:r>
        <w:rPr>
          <w:b/>
          <w:bCs/>
        </w:rPr>
        <w:t xml:space="preserve"> </w:t>
      </w:r>
      <w:r>
        <w:t>Wymagania wobec wbudowania taśm bitumicznych</w:t>
      </w:r>
    </w:p>
    <w:p w:rsidR="00CD292D" w:rsidRDefault="00CD292D" w:rsidP="00CD292D">
      <w:pPr>
        <w:ind w:firstLine="709"/>
      </w:pPr>
      <w:r>
        <w:t>Minimalna wysokość taśmy wynosi 4 cm.</w:t>
      </w:r>
    </w:p>
    <w:p w:rsidR="00CD292D" w:rsidRDefault="00CD292D" w:rsidP="00CD292D">
      <w:pPr>
        <w:ind w:firstLine="709"/>
      </w:pPr>
      <w:r>
        <w:t>Grubość taśmy w złączach powinna wynosić 10 mm.</w:t>
      </w:r>
    </w:p>
    <w:p w:rsidR="00CD292D" w:rsidRDefault="00CD292D" w:rsidP="00CD292D">
      <w:pPr>
        <w:ind w:firstLine="709"/>
      </w:pPr>
      <w:r>
        <w:t>Krawędź boczna złącza podłużnego powinna być uformowana za pomocą rolki dociskowej lub poprzez obcięcie nożem talerzowym.</w:t>
      </w:r>
    </w:p>
    <w:p w:rsidR="00CD292D" w:rsidRDefault="00CD292D" w:rsidP="00CD292D">
      <w:pPr>
        <w:ind w:firstLine="709"/>
      </w:pPr>
      <w:r>
        <w:t>Krawędź boczna złącza poprzecznego powinna być uformowana w taki sposób i za</w:t>
      </w:r>
    </w:p>
    <w:p w:rsidR="00CD292D" w:rsidRDefault="00CD292D" w:rsidP="00CD292D">
      <w:r>
        <w:t>pomocą urządzeń umożliwiających uzyskanie nieregularnej powierzchni.</w:t>
      </w:r>
    </w:p>
    <w:p w:rsidR="00CD292D" w:rsidRDefault="00CD292D" w:rsidP="00CD292D">
      <w:pPr>
        <w:ind w:firstLine="709"/>
      </w:pPr>
      <w:r>
        <w:t>Powierzchnie krawędzi do których klejona będzie taśma, powinny być czyste i suche. Przed przyklejeniem taśmy w metodzie „gorące przy zimnym”, krawędzie „zimnej” warstwy na całkowitej grubości, należy zagruntować zgodnie z zaleceniami producenta</w:t>
      </w:r>
    </w:p>
    <w:p w:rsidR="00CD292D" w:rsidRDefault="00CD292D" w:rsidP="00CD292D">
      <w:r>
        <w:t>taśmy.</w:t>
      </w:r>
    </w:p>
    <w:p w:rsidR="00CD292D" w:rsidRDefault="00CD292D" w:rsidP="00CD292D">
      <w:pPr>
        <w:ind w:firstLine="709"/>
      </w:pPr>
      <w:r>
        <w:t>Taśma bitumiczna powinna być wstępnie przyklejona do zimnej krawędzi złącza pokrywając 2/3 wysokości warstwy licząc od górnej powierzchni..</w:t>
      </w:r>
    </w:p>
    <w:p w:rsidR="00CD292D" w:rsidRDefault="00CD292D" w:rsidP="00CD292D">
      <w:pPr>
        <w:spacing w:before="120" w:after="120"/>
      </w:pPr>
      <w:r>
        <w:t>5.9.1.6.</w:t>
      </w:r>
      <w:r>
        <w:rPr>
          <w:b/>
          <w:bCs/>
        </w:rPr>
        <w:t xml:space="preserve"> </w:t>
      </w:r>
      <w:r>
        <w:t>Wymagania wobec wbudowywania past bitumicznych</w:t>
      </w:r>
    </w:p>
    <w:p w:rsidR="00CD292D" w:rsidRDefault="00CD292D" w:rsidP="00CD292D">
      <w:pPr>
        <w:ind w:firstLine="709"/>
      </w:pPr>
      <w:r>
        <w:t>Przygotowanie krawędzi bocznych jak w przypadku stosowania taśm bitumicznych.</w:t>
      </w:r>
    </w:p>
    <w:p w:rsidR="00CD292D" w:rsidRDefault="00CD292D" w:rsidP="00CD292D">
      <w:pPr>
        <w:ind w:firstLine="709"/>
      </w:pPr>
      <w:r>
        <w:t>Pasta powinna być nanoszona mechanicznie z zapewnieniem równomiernego jej rozprowadzenia na bocznej krawędzi w ilości 3 - 4 kg/m</w:t>
      </w:r>
      <w:r>
        <w:rPr>
          <w:vertAlign w:val="superscript"/>
        </w:rPr>
        <w:t>2</w:t>
      </w:r>
      <w:r>
        <w:t xml:space="preserve"> (warstwa o grubości 3 - 4 mm przy gęstości około 1,0 g/cm3). Dopuszcza się ręczne nanoszenie past w miejscach niedostępnych.</w:t>
      </w:r>
    </w:p>
    <w:p w:rsidR="00CD292D" w:rsidRDefault="00CD292D" w:rsidP="00CD292D">
      <w:pPr>
        <w:spacing w:before="120" w:after="120"/>
      </w:pPr>
      <w:r>
        <w:rPr>
          <w:b/>
          <w:bCs/>
        </w:rPr>
        <w:t>5.9.2.</w:t>
      </w:r>
      <w:r>
        <w:t xml:space="preserve"> Wykonanie spoin  </w:t>
      </w:r>
    </w:p>
    <w:p w:rsidR="00CD292D" w:rsidRDefault="00CD292D" w:rsidP="00CD292D">
      <w:pPr>
        <w:ind w:firstLine="709"/>
      </w:pPr>
      <w:r>
        <w:t>Spoiny należy wykonywać w wypadku połączeń warstwy z urządzeniami w nawierzchni lub ją ograniczającymi.</w:t>
      </w:r>
    </w:p>
    <w:p w:rsidR="00CD292D" w:rsidRDefault="00CD292D" w:rsidP="00CD292D">
      <w:pPr>
        <w:ind w:firstLine="709"/>
      </w:pPr>
      <w:r>
        <w:t xml:space="preserve">Spoiny należy wykonywać z materiałów termoplastycznych (taśmy, pasty) zgodnych z pktem 2.7. </w:t>
      </w:r>
    </w:p>
    <w:p w:rsidR="00CD292D" w:rsidRDefault="00CD292D" w:rsidP="00CD292D">
      <w:pPr>
        <w:ind w:firstLine="709"/>
      </w:pPr>
      <w:r>
        <w:t>Grubość elastycznej taśmy uszczelniającej w spoinach w warstwie wiążącej powinna wynosić nie mniej niż 15 mm.</w:t>
      </w:r>
    </w:p>
    <w:p w:rsidR="00CD292D" w:rsidRDefault="00CD292D" w:rsidP="00CD292D">
      <w:pPr>
        <w:ind w:firstLine="709"/>
      </w:pPr>
      <w:r>
        <w:t>Pasta powinna być nanoszona mechanicznie z zapewnieniem równomiernego jej rozprowadzenia na bocznej krawędzi w ilości 3 - 4 kg/m</w:t>
      </w:r>
      <w:r>
        <w:rPr>
          <w:vertAlign w:val="superscript"/>
        </w:rPr>
        <w:t>2</w:t>
      </w:r>
      <w:r>
        <w:t xml:space="preserve"> (warstwa o grubości 3 - 4 mm przy gęstości około 1,0 g/cm</w:t>
      </w:r>
      <w:r>
        <w:rPr>
          <w:vertAlign w:val="superscript"/>
        </w:rPr>
        <w:t>3</w:t>
      </w:r>
      <w:r>
        <w:t>).</w:t>
      </w:r>
    </w:p>
    <w:p w:rsidR="00CD292D" w:rsidRDefault="00CD292D" w:rsidP="00CD292D">
      <w:pPr>
        <w:pStyle w:val="Nagwek2"/>
        <w:rPr>
          <w:rFonts w:eastAsia="Times New Roman"/>
        </w:rPr>
      </w:pPr>
      <w:r>
        <w:rPr>
          <w:rFonts w:eastAsia="Times New Roman"/>
        </w:rPr>
        <w:t xml:space="preserve">5.10. Krawędzie </w:t>
      </w:r>
    </w:p>
    <w:p w:rsidR="00CD292D" w:rsidRDefault="00CD292D" w:rsidP="00CD292D">
      <w:pPr>
        <w:ind w:firstLine="709"/>
        <w:rPr>
          <w:rFonts w:eastAsiaTheme="minorEastAsia"/>
        </w:rPr>
      </w:pPr>
      <w: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CD292D" w:rsidRDefault="00CD292D" w:rsidP="00CD292D">
      <w:pPr>
        <w:ind w:firstLine="709"/>
      </w:pPr>
      <w:r>
        <w:t xml:space="preserve">W przypadku warstw nawierzchni bez urządzeń ograniczających (np. krawężników) krawędziom należy nadać spadki o nachyleniu nie większym niż 2:1, przy pomocy rolki dociskowej </w:t>
      </w:r>
      <w:r>
        <w:lastRenderedPageBreak/>
        <w:t>mocowanej do walca lub elementu mocowanego do rozkładarki tzw „buta” („na gorąco”). Jeżeli krawędzie nie zostały uformowane na gorąco krawędzi należy wyfrezować na zimno.</w:t>
      </w:r>
    </w:p>
    <w:p w:rsidR="00CD292D" w:rsidRDefault="00CD292D" w:rsidP="00CD292D">
      <w:pPr>
        <w:ind w:firstLine="284"/>
      </w:pPr>
      <w:r>
        <w:t>Po wykonaniu nawierzchni asfaltowej o jednostronnym nachyleniu jezdni należy uszczelnić krawędź położoną wyżej (niżej położona krawędź powinna zostać nieuszczelniona).</w:t>
      </w:r>
    </w:p>
    <w:p w:rsidR="00CD292D" w:rsidRDefault="00CD292D" w:rsidP="00CD292D">
      <w:pPr>
        <w:ind w:firstLine="709"/>
      </w:pPr>
      <w:r>
        <w:t>W przypadku nawierzchni o dwustronnym nachyleniu (przekrój daszkowy) decyzję o potrzebie i sposobie uszczelnienia krawędzi zewnętrznych podejmie Projektant w uzgodnieniu z Inżynierem.</w:t>
      </w:r>
    </w:p>
    <w:p w:rsidR="00CD292D" w:rsidRDefault="00CD292D" w:rsidP="00CD292D">
      <w:pPr>
        <w:ind w:firstLine="709"/>
      </w:pPr>
      <w:r>
        <w:t>Krawędzie zewnętrzne oraz powierzchnie odsadzek poziomych należy uszczelnić przez pokrycie gorącym asfaltem w ilości:</w:t>
      </w:r>
    </w:p>
    <w:p w:rsidR="00CD292D" w:rsidRDefault="00CD292D" w:rsidP="00CD292D">
      <w:pPr>
        <w:ind w:left="426" w:hanging="360"/>
      </w:pPr>
      <w:r>
        <w:rPr>
          <w:sz w:val="16"/>
          <w:szCs w:val="16"/>
        </w:rPr>
        <w:t>–</w:t>
      </w:r>
      <w:r>
        <w:rPr>
          <w:sz w:val="14"/>
          <w:szCs w:val="14"/>
        </w:rPr>
        <w:t xml:space="preserve">         </w:t>
      </w:r>
      <w:r>
        <w:t>powierzchnie odsadzek - 1,5 kg/m</w:t>
      </w:r>
      <w:r>
        <w:rPr>
          <w:vertAlign w:val="superscript"/>
        </w:rPr>
        <w:t>2</w:t>
      </w:r>
      <w:r>
        <w:t>,</w:t>
      </w:r>
    </w:p>
    <w:p w:rsidR="00CD292D" w:rsidRDefault="00CD292D" w:rsidP="00CD292D">
      <w:pPr>
        <w:ind w:left="426" w:hanging="360"/>
      </w:pPr>
      <w:r>
        <w:rPr>
          <w:sz w:val="16"/>
          <w:szCs w:val="16"/>
        </w:rPr>
        <w:t>–</w:t>
      </w:r>
      <w:r>
        <w:rPr>
          <w:sz w:val="14"/>
          <w:szCs w:val="14"/>
        </w:rPr>
        <w:t xml:space="preserve">         </w:t>
      </w:r>
      <w:r>
        <w:t>krawędzie zewnętrzne - 4 kg/m</w:t>
      </w:r>
      <w:r>
        <w:rPr>
          <w:vertAlign w:val="superscript"/>
        </w:rPr>
        <w:t>2</w:t>
      </w:r>
      <w:r>
        <w:t>.</w:t>
      </w:r>
    </w:p>
    <w:p w:rsidR="00CD292D" w:rsidRDefault="00CD292D" w:rsidP="00CD292D">
      <w:pPr>
        <w:ind w:firstLine="709"/>
      </w:pPr>
      <w:r>
        <w:t>Gorący asfalt może być nanoszony w kilku przejściach roboczych.</w:t>
      </w:r>
    </w:p>
    <w:p w:rsidR="00CD292D" w:rsidRDefault="00CD292D" w:rsidP="00CD292D">
      <w:pPr>
        <w:ind w:firstLine="709"/>
      </w:pPr>
      <w:r>
        <w:t>Do uszczelniania krawędzi zewnętrznych należy stosować asfalt drogowy według PN-EN 12591[23], asfalt modyfikowany polimerami według PN-EN 14023[66], asfalt wielorodzajowy wg PN-EN 13924-2[65], albo inne lepiszcza według norm lub aprobat technicznych. Uszczelnienie krawędzi zewnętrznej należy wykonać gorącym lepiszczem.</w:t>
      </w:r>
    </w:p>
    <w:p w:rsidR="00CD292D" w:rsidRDefault="00CD292D" w:rsidP="00CD292D">
      <w:pPr>
        <w:ind w:firstLine="709"/>
      </w:pPr>
      <w:r>
        <w:t xml:space="preserve">Lepiszcze powinno być naniesione odpowiednio szybko tak, aby krawędzie nie uległy zabrudzeniu. Niżej położona krawędź (z wyjątkiem strefy zmiany przechyłki) powinna pozostać nieuszczelniona. </w:t>
      </w:r>
    </w:p>
    <w:p w:rsidR="00CD292D" w:rsidRDefault="00CD292D" w:rsidP="00CD292D">
      <w:pPr>
        <w:ind w:firstLine="709"/>
      </w:pPr>
      <w: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rsidR="00CD292D" w:rsidRDefault="00CD292D" w:rsidP="00CD292D">
      <w:pPr>
        <w:pStyle w:val="Nagwek1"/>
        <w:rPr>
          <w:rFonts w:eastAsia="Times New Roman"/>
        </w:rPr>
      </w:pPr>
      <w:bookmarkStart w:id="530" w:name="_Toc412707323"/>
      <w:r>
        <w:rPr>
          <w:rFonts w:eastAsia="Times New Roman"/>
        </w:rPr>
        <w:t>6. Kontrola jakości robót</w:t>
      </w:r>
      <w:bookmarkEnd w:id="530"/>
    </w:p>
    <w:p w:rsidR="00CD292D" w:rsidRDefault="00CD292D" w:rsidP="00CD292D">
      <w:pPr>
        <w:pStyle w:val="Nagwek2"/>
        <w:rPr>
          <w:rFonts w:eastAsia="Times New Roman"/>
        </w:rPr>
      </w:pPr>
      <w:r>
        <w:rPr>
          <w:rFonts w:eastAsia="Times New Roman"/>
        </w:rPr>
        <w:t>6.1. Ogólne zasady kontroli jakości robót</w:t>
      </w:r>
    </w:p>
    <w:p w:rsidR="00CD292D" w:rsidRDefault="00CD292D" w:rsidP="00CD292D">
      <w:pPr>
        <w:rPr>
          <w:rFonts w:eastAsiaTheme="minorEastAsia"/>
        </w:rPr>
      </w:pPr>
      <w:r>
        <w:t>            Ogólne zasady kontroli jakości robót podano w OST   D-M-00.00.00 „Wymagania ogólne” [1] pkt 6.</w:t>
      </w:r>
    </w:p>
    <w:p w:rsidR="00CD292D" w:rsidRDefault="00CD292D" w:rsidP="00CD292D">
      <w:pPr>
        <w:pStyle w:val="Nagwek2"/>
        <w:rPr>
          <w:rFonts w:eastAsia="Times New Roman"/>
        </w:rPr>
      </w:pPr>
      <w:r>
        <w:rPr>
          <w:rFonts w:eastAsia="Times New Roman"/>
        </w:rPr>
        <w:t>6.2. Badania przed przystąpieniem do robót</w:t>
      </w:r>
    </w:p>
    <w:p w:rsidR="00CD292D" w:rsidRDefault="00CD292D" w:rsidP="00CD292D">
      <w:pPr>
        <w:spacing w:after="120"/>
        <w:rPr>
          <w:rFonts w:eastAsiaTheme="minorEastAsia"/>
        </w:rPr>
      </w:pPr>
      <w:r>
        <w:rPr>
          <w:b/>
          <w:bCs/>
        </w:rPr>
        <w:t>6.2.1.</w:t>
      </w:r>
      <w:r>
        <w:t xml:space="preserve"> Dokumenty i wyniki badań materiałów</w:t>
      </w:r>
    </w:p>
    <w:p w:rsidR="00CD292D" w:rsidRDefault="00CD292D" w:rsidP="00CD292D">
      <w:r>
        <w:t>            Przed przystąpieniem do robót Wykonawca powinien:</w:t>
      </w:r>
    </w:p>
    <w:p w:rsidR="00CD292D" w:rsidRDefault="00CD292D" w:rsidP="00CD292D">
      <w:pPr>
        <w:ind w:left="283" w:hanging="283"/>
      </w:pPr>
      <w:r>
        <w:rPr>
          <w:rFonts w:ascii="Symbol" w:hAnsi="Symbol"/>
          <w:sz w:val="20"/>
          <w:szCs w:val="20"/>
        </w:rPr>
        <w:t></w:t>
      </w:r>
      <w:r>
        <w:rPr>
          <w:sz w:val="14"/>
          <w:szCs w:val="14"/>
        </w:rPr>
        <w:t xml:space="preserve">      </w:t>
      </w: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D292D" w:rsidRDefault="00CD292D" w:rsidP="00CD292D">
      <w:pPr>
        <w:ind w:left="283" w:hanging="283"/>
      </w:pPr>
      <w:r>
        <w:rPr>
          <w:rFonts w:ascii="Symbol" w:hAnsi="Symbol"/>
          <w:sz w:val="20"/>
          <w:szCs w:val="20"/>
        </w:rPr>
        <w:t></w:t>
      </w:r>
      <w:r>
        <w:rPr>
          <w:sz w:val="14"/>
          <w:szCs w:val="14"/>
        </w:rPr>
        <w:t xml:space="preserve">      </w:t>
      </w:r>
      <w:r>
        <w:t>ew. wykonać własne badania właściwości materiałów przeznaczonych do wykonania robót, określone przez Inżyniera.</w:t>
      </w:r>
    </w:p>
    <w:p w:rsidR="00CD292D" w:rsidRDefault="00CD292D" w:rsidP="00CD292D">
      <w:pPr>
        <w:ind w:right="-57" w:firstLine="709"/>
      </w:pPr>
      <w:r>
        <w:rPr>
          <w:color w:val="000000"/>
        </w:rPr>
        <w:t>W przypadku zmiany rodzaju i właściwości materiałów budowlanych należy ponownie wykazać ich przydatność do przewidywanego celu.  </w:t>
      </w:r>
    </w:p>
    <w:p w:rsidR="00CD292D" w:rsidRDefault="00CD292D" w:rsidP="00CD292D">
      <w:r>
        <w:lastRenderedPageBreak/>
        <w:t>            Wszystkie dokumenty oraz wyniki badań Wykonawca przedstawia Inżynierowi do akceptacji.</w:t>
      </w:r>
    </w:p>
    <w:p w:rsidR="00CD292D" w:rsidRDefault="00CD292D" w:rsidP="00CD292D">
      <w:pPr>
        <w:spacing w:before="120" w:after="120"/>
      </w:pPr>
      <w:r>
        <w:rPr>
          <w:b/>
          <w:bCs/>
        </w:rPr>
        <w:t>6.2.2.</w:t>
      </w:r>
      <w:r>
        <w:t xml:space="preserve"> Badanie typu </w:t>
      </w:r>
    </w:p>
    <w:p w:rsidR="00CD292D" w:rsidRDefault="00CD292D" w:rsidP="00CD292D">
      <w:pPr>
        <w:ind w:firstLine="709"/>
      </w:pPr>
      <w: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rsidR="00CD292D" w:rsidRDefault="00CD292D" w:rsidP="00CD292D">
      <w:pPr>
        <w:ind w:firstLine="709"/>
      </w:pPr>
      <w:r>
        <w:t>Badanie typu powinno zawierać:</w:t>
      </w:r>
    </w:p>
    <w:p w:rsidR="00CD292D" w:rsidRDefault="00CD292D" w:rsidP="00CD292D">
      <w:pPr>
        <w:ind w:left="1080" w:hanging="720"/>
      </w:pPr>
      <w:r>
        <w:t>a)</w:t>
      </w:r>
      <w:r>
        <w:rPr>
          <w:sz w:val="14"/>
          <w:szCs w:val="14"/>
        </w:rPr>
        <w:t xml:space="preserve">      </w:t>
      </w:r>
      <w:r>
        <w:t>informacje ogólne:</w:t>
      </w:r>
    </w:p>
    <w:p w:rsidR="00CD292D" w:rsidRDefault="00CD292D" w:rsidP="00CD292D">
      <w:pPr>
        <w:ind w:left="600" w:hanging="240"/>
      </w:pPr>
      <w:r>
        <w:t>–</w:t>
      </w:r>
      <w:r>
        <w:rPr>
          <w:sz w:val="14"/>
          <w:szCs w:val="14"/>
        </w:rPr>
        <w:t xml:space="preserve">    </w:t>
      </w:r>
      <w:r>
        <w:t>nazwę i adres producenta mieszanki mineralno-asfaltowej,</w:t>
      </w:r>
    </w:p>
    <w:p w:rsidR="00CD292D" w:rsidRDefault="00CD292D" w:rsidP="00CD292D">
      <w:pPr>
        <w:ind w:left="600" w:hanging="240"/>
      </w:pPr>
      <w:r>
        <w:t>–</w:t>
      </w:r>
      <w:r>
        <w:rPr>
          <w:sz w:val="14"/>
          <w:szCs w:val="14"/>
        </w:rPr>
        <w:t xml:space="preserve">    </w:t>
      </w:r>
      <w:r>
        <w:t>datę wydania,</w:t>
      </w:r>
    </w:p>
    <w:p w:rsidR="00CD292D" w:rsidRDefault="00CD292D" w:rsidP="00CD292D">
      <w:pPr>
        <w:ind w:left="600" w:hanging="240"/>
      </w:pPr>
      <w:r>
        <w:t>–</w:t>
      </w:r>
      <w:r>
        <w:rPr>
          <w:sz w:val="14"/>
          <w:szCs w:val="14"/>
        </w:rPr>
        <w:t xml:space="preserve">    </w:t>
      </w:r>
      <w:r>
        <w:t>nazwę wytwórni produkującej mieszankę mineralno –asfaltową,</w:t>
      </w:r>
    </w:p>
    <w:p w:rsidR="00CD292D" w:rsidRDefault="00CD292D" w:rsidP="00CD292D">
      <w:pPr>
        <w:ind w:left="600" w:hanging="240"/>
      </w:pPr>
      <w:r>
        <w:t>–</w:t>
      </w:r>
      <w:r>
        <w:rPr>
          <w:sz w:val="14"/>
          <w:szCs w:val="14"/>
        </w:rPr>
        <w:t xml:space="preserve">    </w:t>
      </w:r>
      <w:r>
        <w:t>określenie typu mieszanki i kategorii, z którymi jest deklarowana zgodność,</w:t>
      </w:r>
    </w:p>
    <w:p w:rsidR="00CD292D" w:rsidRDefault="00CD292D" w:rsidP="00CD292D">
      <w:pPr>
        <w:ind w:left="600" w:hanging="240"/>
      </w:pPr>
      <w:r>
        <w:t>–</w:t>
      </w:r>
      <w:r>
        <w:rPr>
          <w:sz w:val="14"/>
          <w:szCs w:val="14"/>
        </w:rPr>
        <w:t xml:space="preserve">    </w:t>
      </w:r>
      <w:r>
        <w:t>zestawienie metod przygotowania próbek oraz metod i warunków badania poszczególnych właściwości,</w:t>
      </w:r>
    </w:p>
    <w:p w:rsidR="00CD292D" w:rsidRDefault="00CD292D" w:rsidP="00CD292D">
      <w:pPr>
        <w:ind w:left="1080" w:hanging="720"/>
      </w:pPr>
      <w:r>
        <w:t>b)</w:t>
      </w:r>
      <w:r>
        <w:rPr>
          <w:sz w:val="14"/>
          <w:szCs w:val="14"/>
        </w:rPr>
        <w:t xml:space="preserve">     </w:t>
      </w:r>
      <w:r>
        <w:t>informacje o składnikach:</w:t>
      </w:r>
    </w:p>
    <w:p w:rsidR="00CD292D" w:rsidRDefault="00CD292D" w:rsidP="00CD292D">
      <w:pPr>
        <w:ind w:left="814" w:hanging="454"/>
      </w:pPr>
      <w:r>
        <w:t>–</w:t>
      </w:r>
      <w:r>
        <w:rPr>
          <w:sz w:val="14"/>
          <w:szCs w:val="14"/>
        </w:rPr>
        <w:t xml:space="preserve">    </w:t>
      </w:r>
      <w:r>
        <w:t>każdy wymiar kruszywa: źródło i rodzaj,</w:t>
      </w:r>
    </w:p>
    <w:p w:rsidR="00CD292D" w:rsidRDefault="00CD292D" w:rsidP="00CD292D">
      <w:pPr>
        <w:ind w:left="814" w:hanging="454"/>
      </w:pPr>
      <w:r>
        <w:t>–</w:t>
      </w:r>
      <w:r>
        <w:rPr>
          <w:sz w:val="14"/>
          <w:szCs w:val="14"/>
        </w:rPr>
        <w:t xml:space="preserve">    </w:t>
      </w:r>
      <w:r>
        <w:t>lepiszcze: typ i rodzaj,</w:t>
      </w:r>
    </w:p>
    <w:p w:rsidR="00CD292D" w:rsidRDefault="00CD292D" w:rsidP="00CD292D">
      <w:pPr>
        <w:ind w:left="814" w:hanging="454"/>
      </w:pPr>
      <w:r>
        <w:t>–</w:t>
      </w:r>
      <w:r>
        <w:rPr>
          <w:sz w:val="14"/>
          <w:szCs w:val="14"/>
        </w:rPr>
        <w:t xml:space="preserve">    </w:t>
      </w:r>
      <w:r>
        <w:t>wypełniacz: źródło i rodzaj,</w:t>
      </w:r>
    </w:p>
    <w:p w:rsidR="00CD292D" w:rsidRDefault="00CD292D" w:rsidP="00CD292D">
      <w:pPr>
        <w:ind w:left="814" w:hanging="454"/>
      </w:pPr>
      <w:r>
        <w:t>–</w:t>
      </w:r>
      <w:r>
        <w:rPr>
          <w:sz w:val="14"/>
          <w:szCs w:val="14"/>
        </w:rPr>
        <w:t xml:space="preserve">    </w:t>
      </w:r>
      <w:r>
        <w:t>dodatki: źródło i rodzaj,</w:t>
      </w:r>
    </w:p>
    <w:p w:rsidR="00CD292D" w:rsidRDefault="00CD292D" w:rsidP="00CD292D">
      <w:pPr>
        <w:ind w:left="814" w:hanging="454"/>
      </w:pPr>
      <w:r>
        <w:t>–</w:t>
      </w:r>
      <w:r>
        <w:rPr>
          <w:sz w:val="14"/>
          <w:szCs w:val="14"/>
        </w:rPr>
        <w:t xml:space="preserve">    </w:t>
      </w:r>
      <w:r>
        <w:t>wszystkie składniki: wyniki badań zgodnie z zestawieniem podanym w tablicy 27.</w:t>
      </w:r>
    </w:p>
    <w:p w:rsidR="00CD292D" w:rsidRDefault="00CD292D" w:rsidP="00CD292D">
      <w:pPr>
        <w:spacing w:before="120" w:after="120"/>
      </w:pPr>
      <w:r>
        <w:t>Tablica 27.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268"/>
        <w:gridCol w:w="2280"/>
        <w:gridCol w:w="2760"/>
        <w:gridCol w:w="1440"/>
      </w:tblGrid>
      <w:tr w:rsidR="00CD292D" w:rsidTr="00CD292D">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Składnik</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Właściwość</w:t>
            </w:r>
          </w:p>
        </w:tc>
        <w:tc>
          <w:tcPr>
            <w:tcW w:w="2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Metoda badania</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Liczba badań</w:t>
            </w:r>
          </w:p>
        </w:tc>
      </w:tr>
      <w:tr w:rsidR="00CD292D" w:rsidTr="00CD292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Kruszywo</w:t>
            </w:r>
          </w:p>
          <w:p w:rsidR="00CD292D" w:rsidRDefault="00CD292D">
            <w: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933-1 [6]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 na frakcję</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1097-6 [16]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 na frakcję</w:t>
            </w:r>
          </w:p>
        </w:tc>
      </w:tr>
      <w:tr w:rsidR="00CD292D" w:rsidTr="00CD292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Lepiszcze </w:t>
            </w:r>
          </w:p>
          <w:p w:rsidR="00CD292D" w:rsidRDefault="00CD292D">
            <w:r>
              <w:t xml:space="preserve">(PN-EN 12591 [23], PN-EN13924-2 [65], </w:t>
            </w:r>
          </w:p>
          <w:p w:rsidR="00CD292D" w:rsidRDefault="00CD292D">
            <w:r>
              <w:rPr>
                <w:lang w:val="en-US"/>
              </w:rPr>
              <w:t>PN-EN 14023 [66])</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Penetracja lub tem-peratura mięknienia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1426 [20] lub</w:t>
            </w:r>
          </w:p>
          <w:p w:rsidR="00CD292D" w:rsidRDefault="00CD292D">
            <w:r>
              <w:t>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Nawrót sprężysty</w:t>
            </w:r>
            <w:r>
              <w:rPr>
                <w:vertAlign w:val="superscript"/>
              </w:rPr>
              <w:t>*)</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13398 [58]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Wypełniacz </w:t>
            </w:r>
          </w:p>
          <w:p w:rsidR="00CD292D" w:rsidRDefault="00CD292D">
            <w: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933-10 [12]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1097-7 [17]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Dodatki</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Typ</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tc>
      </w:tr>
      <w:tr w:rsidR="00CD292D" w:rsidTr="00CD292D">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Granulat asfaltowy</w:t>
            </w:r>
            <w:r>
              <w:rPr>
                <w:vertAlign w:val="superscript"/>
              </w:rPr>
              <w:t>**)</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12697-2 [32]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Zawartość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12697-1 [31]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Penetracja odzyskanego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12697-3 [33] lub PN-EN 12697-4 [34] oraz PN-EN 1426 [20]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Temperatura mięknienia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12697-3 [33] lub PN-EN 12697-4 [34] oraz 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PN-EN 12697-5 [35]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w:t>
            </w:r>
          </w:p>
        </w:tc>
      </w:tr>
    </w:tbl>
    <w:p w:rsidR="00CD292D" w:rsidRDefault="00CD292D" w:rsidP="00CD292D">
      <w:pPr>
        <w:rPr>
          <w:rFonts w:eastAsiaTheme="minorEastAsia"/>
        </w:rPr>
      </w:pPr>
      <w:r>
        <w:t xml:space="preserve">*)    dotyczy jedynie lepiszczy wg PN-EN 14023 [66],           </w:t>
      </w:r>
    </w:p>
    <w:p w:rsidR="00CD292D" w:rsidRDefault="00CD292D" w:rsidP="00CD292D">
      <w:pPr>
        <w:ind w:left="480" w:hanging="480"/>
      </w:pPr>
      <w:r>
        <w:t>**) sprawdzane właściwości powinny być odpowiednie do procentowego dodatku; przy małym procentowym dodatku stosuje się minimum wymagań.</w:t>
      </w:r>
    </w:p>
    <w:p w:rsidR="00CD292D" w:rsidRDefault="00CD292D" w:rsidP="00CD292D">
      <w:pPr>
        <w:spacing w:before="120"/>
        <w:ind w:left="1077" w:hanging="720"/>
      </w:pPr>
      <w:r>
        <w:t>c)</w:t>
      </w:r>
      <w:r>
        <w:rPr>
          <w:sz w:val="14"/>
          <w:szCs w:val="14"/>
        </w:rPr>
        <w:t xml:space="preserve">      </w:t>
      </w:r>
      <w:r>
        <w:t>informacje o mieszance mineralno-asfaltowej:</w:t>
      </w:r>
    </w:p>
    <w:p w:rsidR="00CD292D" w:rsidRDefault="00CD292D" w:rsidP="00CD292D">
      <w:pPr>
        <w:ind w:left="720" w:hanging="360"/>
      </w:pPr>
      <w:r>
        <w:t>–</w:t>
      </w:r>
      <w:r>
        <w:rPr>
          <w:sz w:val="14"/>
          <w:szCs w:val="14"/>
        </w:rPr>
        <w:t xml:space="preserve">        </w:t>
      </w:r>
      <w:r>
        <w:t>skład mieszaki podany jako wejściowy (w przypadku walidacji w laboratorium) lub wyjściowy skład (w wypadku walidacji produkcji),</w:t>
      </w:r>
    </w:p>
    <w:p w:rsidR="00CD292D" w:rsidRDefault="00CD292D" w:rsidP="00CD292D">
      <w:pPr>
        <w:ind w:left="720" w:hanging="360"/>
      </w:pPr>
      <w:r>
        <w:t>–</w:t>
      </w:r>
      <w:r>
        <w:rPr>
          <w:sz w:val="14"/>
          <w:szCs w:val="14"/>
        </w:rPr>
        <w:t xml:space="preserve">        </w:t>
      </w:r>
      <w:r>
        <w:t>wyniki badań zgodnie z zestawieniem podanym w tablicy 28.</w:t>
      </w:r>
    </w:p>
    <w:p w:rsidR="00CD292D" w:rsidRDefault="00CD292D" w:rsidP="00CD292D">
      <w:pPr>
        <w:spacing w:before="120" w:after="120"/>
      </w:pPr>
      <w:r>
        <w:t>Tablica 28. Rodzaj i liczba badań mieszanki mineralno-asfaltowej</w:t>
      </w:r>
    </w:p>
    <w:tbl>
      <w:tblPr>
        <w:tblW w:w="8868" w:type="dxa"/>
        <w:tblCellMar>
          <w:left w:w="0" w:type="dxa"/>
          <w:right w:w="0" w:type="dxa"/>
        </w:tblCellMar>
        <w:tblLook w:val="04A0" w:firstRow="1" w:lastRow="0" w:firstColumn="1" w:lastColumn="0" w:noHBand="0" w:noVBand="1"/>
      </w:tblPr>
      <w:tblGrid>
        <w:gridCol w:w="3995"/>
        <w:gridCol w:w="3313"/>
        <w:gridCol w:w="1560"/>
      </w:tblGrid>
      <w:tr w:rsidR="00CD292D" w:rsidTr="00CD292D">
        <w:tc>
          <w:tcPr>
            <w:tcW w:w="39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Właściwość</w:t>
            </w:r>
          </w:p>
        </w:tc>
        <w:tc>
          <w:tcPr>
            <w:tcW w:w="33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Metoda badania</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Liczba badań</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pPr>
            <w:r>
              <w:t>Zawartość lepiszcza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12697-1[31]</w:t>
            </w:r>
          </w:p>
          <w:p w:rsidR="00CD292D" w:rsidRDefault="00CD292D">
            <w:pPr>
              <w:jc w:val="center"/>
            </w:pPr>
            <w:r>
              <w:t>PN-EN 12697-39 [46]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Uziarnienie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12697-2 [32]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Zawartość wolnych przestrzeni łącznie z VFB i VMA przy wymaganej zawartości wolnych przestrzeni V</w:t>
            </w:r>
            <w:r>
              <w:rPr>
                <w:vertAlign w:val="subscript"/>
              </w:rPr>
              <w:t>max</w:t>
            </w:r>
            <w:r>
              <w:t>≤7%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12697-8 [37]</w:t>
            </w:r>
          </w:p>
          <w:p w:rsidR="00CD292D" w:rsidRDefault="00CD292D">
            <w:r>
              <w:t>Gęstość objętościowa wg PN-EN 12697-6 [36], metoda B, w stanie nasyconym powierzchniowo suchym.</w:t>
            </w:r>
          </w:p>
          <w:p w:rsidR="00CD292D" w:rsidRDefault="00CD292D">
            <w:r>
              <w:t>Gęstość wg PN-EN 12697-5 [35], metoda A, w wodzie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w:t>
            </w:r>
          </w:p>
          <w:p w:rsidR="00CD292D" w:rsidRDefault="00CD292D">
            <w:pPr>
              <w:jc w:val="center"/>
            </w:pPr>
            <w:r>
              <w:t> </w:t>
            </w:r>
          </w:p>
          <w:p w:rsidR="00CD292D" w:rsidRDefault="00CD292D">
            <w:pPr>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Wrażliwość na działanie wody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12697-12 [39]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deformacje trwałe (powiązana funkcjonalnie); dotyczy betonu asfaltowego zaprojektowanego do maksymalnego obciążenia osi poniżej 130 kN</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PN-EN 12697-22 [41],</w:t>
            </w:r>
          </w:p>
          <w:p w:rsidR="00CD292D" w:rsidRDefault="00CD292D">
            <w:pPr>
              <w:jc w:val="center"/>
            </w:pPr>
            <w:r>
              <w:t>mały aparat, metoda B,</w:t>
            </w:r>
          </w:p>
          <w:p w:rsidR="00CD292D" w:rsidRDefault="00CD292D">
            <w:pPr>
              <w:jc w:val="center"/>
            </w:pPr>
            <w:r>
              <w:t>w powietrzu,</w:t>
            </w:r>
          </w:p>
          <w:p w:rsidR="00CD292D" w:rsidRDefault="00CD292D">
            <w:pPr>
              <w:jc w:val="center"/>
            </w:pPr>
            <w:r>
              <w:t>przy wymaganej temperaturze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 </w:t>
            </w:r>
          </w:p>
          <w:p w:rsidR="00CD292D" w:rsidRDefault="00CD292D">
            <w:pPr>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lastRenderedPageBreak/>
              <w:t>Sztywność (funkcjonalna)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PN-EN 12697-26 [43]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Zmęczenie (funkcjonalna) do nawierz-chni zaprojektowanych wg kryterium opartym na czteropunktowym zginaniu </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12697-24 [42], załącznik 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 </w:t>
            </w:r>
          </w:p>
          <w:p w:rsidR="00CD292D" w:rsidRDefault="00CD292D">
            <w:pPr>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paliwo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12697-43 [49]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r w:rsidR="00CD292D" w:rsidTr="00CD292D">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Odporność na środki odladzające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PN-EN 12697-41 [47]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t>1</w:t>
            </w:r>
          </w:p>
        </w:tc>
      </w:tr>
    </w:tbl>
    <w:p w:rsidR="00CD292D" w:rsidRDefault="00CD292D" w:rsidP="00CD292D">
      <w:pPr>
        <w:rPr>
          <w:rFonts w:eastAsiaTheme="minorEastAsia"/>
        </w:rPr>
      </w:pPr>
      <w:r>
        <w:t> </w:t>
      </w:r>
    </w:p>
    <w:p w:rsidR="00CD292D" w:rsidRDefault="00CD292D" w:rsidP="00CD292D">
      <w:pPr>
        <w:ind w:firstLine="709"/>
      </w:pPr>
      <w:r>
        <w:t xml:space="preserve">Badanie typu należy przeprowadzić zgodnie z PN-EN 13108-20 [54] przy pierwszym wprowadzeniu mieszanek mineralno-asfaltowych do obrotu i powinno być powtórzone w wypadku: </w:t>
      </w:r>
    </w:p>
    <w:p w:rsidR="00CD292D" w:rsidRDefault="00CD292D" w:rsidP="00CD292D">
      <w:pPr>
        <w:ind w:left="240" w:right="-57" w:hanging="240"/>
      </w:pPr>
      <w:r>
        <w:rPr>
          <w:rFonts w:ascii="Symbol" w:hAnsi="Symbol"/>
          <w:color w:val="000000"/>
        </w:rPr>
        <w:t></w:t>
      </w:r>
      <w:r>
        <w:rPr>
          <w:color w:val="000000"/>
          <w:sz w:val="14"/>
          <w:szCs w:val="14"/>
        </w:rPr>
        <w:t xml:space="preserve">    </w:t>
      </w:r>
      <w:r>
        <w:rPr>
          <w:color w:val="000000"/>
        </w:rPr>
        <w:t>upływu trzech lat,</w:t>
      </w:r>
    </w:p>
    <w:p w:rsidR="00CD292D" w:rsidRDefault="00CD292D" w:rsidP="00CD292D">
      <w:pPr>
        <w:ind w:left="240" w:right="-57" w:hanging="240"/>
      </w:pPr>
      <w:r>
        <w:rPr>
          <w:rFonts w:ascii="Symbol" w:hAnsi="Symbol"/>
          <w:color w:val="000000"/>
        </w:rPr>
        <w:t></w:t>
      </w:r>
      <w:r>
        <w:rPr>
          <w:color w:val="000000"/>
          <w:sz w:val="14"/>
          <w:szCs w:val="14"/>
        </w:rPr>
        <w:t xml:space="preserve">    </w:t>
      </w:r>
      <w:r>
        <w:rPr>
          <w:color w:val="000000"/>
        </w:rPr>
        <w:t>zmiany złoża kruszywa,</w:t>
      </w:r>
    </w:p>
    <w:p w:rsidR="00CD292D" w:rsidRDefault="00CD292D" w:rsidP="00CD292D">
      <w:pPr>
        <w:ind w:left="240" w:right="-57" w:hanging="240"/>
      </w:pPr>
      <w:r>
        <w:rPr>
          <w:rFonts w:ascii="Symbol" w:hAnsi="Symbol"/>
          <w:color w:val="000000"/>
        </w:rPr>
        <w:t></w:t>
      </w:r>
      <w:r>
        <w:rPr>
          <w:color w:val="000000"/>
          <w:sz w:val="14"/>
          <w:szCs w:val="14"/>
        </w:rPr>
        <w:t xml:space="preserve">    </w:t>
      </w:r>
      <w:r>
        <w:rPr>
          <w:color w:val="000000"/>
        </w:rPr>
        <w:t>zmiany rodzaju kruszywa (typu petrograficznego),</w:t>
      </w:r>
    </w:p>
    <w:p w:rsidR="00CD292D" w:rsidRDefault="00CD292D" w:rsidP="00CD292D">
      <w:pPr>
        <w:ind w:left="240" w:right="-57" w:hanging="240"/>
      </w:pPr>
      <w:r>
        <w:rPr>
          <w:rFonts w:ascii="Symbol" w:hAnsi="Symbol"/>
          <w:color w:val="000000"/>
        </w:rPr>
        <w:t></w:t>
      </w:r>
      <w:r>
        <w:rPr>
          <w:color w:val="000000"/>
          <w:sz w:val="14"/>
          <w:szCs w:val="14"/>
        </w:rPr>
        <w:t xml:space="preserve">    </w:t>
      </w:r>
      <w:r>
        <w:rPr>
          <w:color w:val="000000"/>
        </w:rPr>
        <w:t>zmiany kategorii kruszywa grubego, jak definiowano w PN-EN 13043 [50], jednej z następujących właściwości: kształtu, udziału ziaren częściowo przekruszonych, odporności na rozdrabnianie, odporności na ścieranie lub kanciastości kruszywa drobnego,</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gęstości ziaren (średnia ważona) o więcej niż 0,05 Mg/m</w:t>
      </w:r>
      <w:r>
        <w:rPr>
          <w:color w:val="000000"/>
          <w:vertAlign w:val="superscript"/>
        </w:rPr>
        <w:t>3</w:t>
      </w:r>
      <w:r>
        <w:rPr>
          <w:color w:val="000000"/>
        </w:rPr>
        <w:t>,</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rodzaju lepiszcza,</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zmiany typu mineralogicznego wypełniacza.</w:t>
      </w:r>
    </w:p>
    <w:p w:rsidR="00CD292D" w:rsidRDefault="00CD292D" w:rsidP="00CD292D">
      <w:pPr>
        <w:ind w:firstLine="709"/>
      </w:pPr>
      <w: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CD292D" w:rsidRDefault="00CD292D" w:rsidP="00CD292D">
      <w:pPr>
        <w:pStyle w:val="Nagwek2"/>
        <w:rPr>
          <w:rFonts w:eastAsia="Times New Roman"/>
        </w:rPr>
      </w:pPr>
      <w:r>
        <w:rPr>
          <w:rFonts w:eastAsia="Times New Roman"/>
        </w:rPr>
        <w:t>6.3. Badania w czasie robót</w:t>
      </w:r>
    </w:p>
    <w:p w:rsidR="00CD292D" w:rsidRDefault="00CD292D" w:rsidP="00CD292D">
      <w:pPr>
        <w:spacing w:after="120"/>
        <w:rPr>
          <w:rFonts w:eastAsiaTheme="minorEastAsia"/>
        </w:rPr>
      </w:pPr>
      <w:r>
        <w:rPr>
          <w:b/>
          <w:bCs/>
        </w:rPr>
        <w:t xml:space="preserve">6.3.1. </w:t>
      </w:r>
      <w:r>
        <w:t>Uwagi ogólne</w:t>
      </w:r>
    </w:p>
    <w:p w:rsidR="00CD292D" w:rsidRDefault="00CD292D" w:rsidP="00CD292D">
      <w:r>
        <w:t>            Badania dzielą się na:</w:t>
      </w:r>
    </w:p>
    <w:p w:rsidR="00CD292D" w:rsidRDefault="00CD292D" w:rsidP="00CD292D">
      <w:pPr>
        <w:ind w:left="397" w:hanging="397"/>
      </w:pPr>
      <w:r>
        <w:t>–</w:t>
      </w:r>
      <w:r>
        <w:rPr>
          <w:sz w:val="14"/>
          <w:szCs w:val="14"/>
        </w:rPr>
        <w:t xml:space="preserve">         </w:t>
      </w:r>
      <w:r>
        <w:t>badania Wykonawcy (w ramach własnego nadzoru),</w:t>
      </w:r>
    </w:p>
    <w:p w:rsidR="00CD292D" w:rsidRDefault="00CD292D" w:rsidP="00CD292D">
      <w:pPr>
        <w:ind w:left="397" w:hanging="397"/>
      </w:pPr>
      <w:r>
        <w:t>–</w:t>
      </w:r>
      <w:r>
        <w:rPr>
          <w:sz w:val="14"/>
          <w:szCs w:val="14"/>
        </w:rPr>
        <w:t xml:space="preserve">         </w:t>
      </w:r>
      <w:r>
        <w:t>badania kontrolne (w ramach nadzoru zleceniodawcy – Inżyniera)</w:t>
      </w:r>
    </w:p>
    <w:p w:rsidR="00CD292D" w:rsidRDefault="00CD292D" w:rsidP="00CD292D">
      <w:pPr>
        <w:ind w:left="397" w:hanging="37"/>
      </w:pPr>
      <w:r>
        <w:t>–</w:t>
      </w:r>
      <w:r>
        <w:rPr>
          <w:sz w:val="14"/>
          <w:szCs w:val="14"/>
        </w:rPr>
        <w:t xml:space="preserve">        </w:t>
      </w:r>
      <w:r>
        <w:t>dodatkowe,</w:t>
      </w:r>
    </w:p>
    <w:p w:rsidR="00CD292D" w:rsidRDefault="00CD292D" w:rsidP="00CD292D">
      <w:pPr>
        <w:ind w:left="397" w:hanging="37"/>
      </w:pPr>
      <w:r>
        <w:t>–</w:t>
      </w:r>
      <w:r>
        <w:rPr>
          <w:sz w:val="14"/>
          <w:szCs w:val="14"/>
        </w:rPr>
        <w:t xml:space="preserve">        </w:t>
      </w:r>
      <w:r>
        <w:t>arbitrażowe.</w:t>
      </w:r>
    </w:p>
    <w:p w:rsidR="00CD292D" w:rsidRDefault="00CD292D" w:rsidP="00CD292D">
      <w:pPr>
        <w:pStyle w:val="Nagwek2"/>
        <w:rPr>
          <w:rFonts w:eastAsia="Times New Roman"/>
        </w:rPr>
      </w:pPr>
      <w:r>
        <w:rPr>
          <w:rFonts w:eastAsia="Times New Roman"/>
        </w:rPr>
        <w:t>6.4. Badania Wykonawcy</w:t>
      </w:r>
    </w:p>
    <w:p w:rsidR="00CD292D" w:rsidRDefault="00CD292D" w:rsidP="00CD292D">
      <w:pPr>
        <w:spacing w:after="120"/>
        <w:rPr>
          <w:rFonts w:eastAsiaTheme="minorEastAsia"/>
        </w:rPr>
      </w:pPr>
      <w:r>
        <w:rPr>
          <w:b/>
          <w:bCs/>
        </w:rPr>
        <w:t>6.4.1.</w:t>
      </w:r>
      <w:r>
        <w:t xml:space="preserve"> Badania w czasie wytwarzania mieszanki mineralno-asfaltowej </w:t>
      </w:r>
    </w:p>
    <w:p w:rsidR="00CD292D" w:rsidRDefault="00CD292D" w:rsidP="00CD292D">
      <w:pPr>
        <w:ind w:firstLine="709"/>
      </w:pPr>
      <w:r>
        <w:t>Badania Wykonawcy w czasie wytwarzania mieszanki mineralno–asfaltowej powinny być wykonywane w ramach zakładowej kontroli produkcji, zgodnie z normą PN-EN 13108-21 [55].</w:t>
      </w:r>
    </w:p>
    <w:p w:rsidR="00CD292D" w:rsidRDefault="00CD292D" w:rsidP="00CD292D">
      <w:pPr>
        <w:ind w:firstLine="709"/>
      </w:pPr>
      <w:r>
        <w:lastRenderedPageBreak/>
        <w:t>Zakres badań Wykonawcy w systemie zakładowej kontroli produkcji obejmuje:</w:t>
      </w:r>
    </w:p>
    <w:p w:rsidR="00CD292D" w:rsidRDefault="00CD292D" w:rsidP="00CD292D">
      <w:pPr>
        <w:ind w:left="454" w:hanging="397"/>
      </w:pPr>
      <w:r>
        <w:t>–</w:t>
      </w:r>
      <w:r>
        <w:rPr>
          <w:sz w:val="14"/>
          <w:szCs w:val="14"/>
        </w:rPr>
        <w:t xml:space="preserve">         </w:t>
      </w:r>
      <w:r>
        <w:t xml:space="preserve">badania materiałów wsadowych do mieszanki mineralno-asfaltowej (asfaltów, kruszyw wypełniacza  i dodatków), </w:t>
      </w:r>
    </w:p>
    <w:p w:rsidR="00CD292D" w:rsidRDefault="00CD292D" w:rsidP="00CD292D">
      <w:pPr>
        <w:ind w:left="454" w:hanging="397"/>
      </w:pPr>
      <w:r>
        <w:t>–</w:t>
      </w:r>
      <w:r>
        <w:rPr>
          <w:sz w:val="14"/>
          <w:szCs w:val="14"/>
        </w:rPr>
        <w:t xml:space="preserve">         </w:t>
      </w:r>
      <w:r>
        <w:t>badanie składu i właściwości mieszanki mineralno-asfaltowej.</w:t>
      </w:r>
    </w:p>
    <w:p w:rsidR="00CD292D" w:rsidRDefault="00CD292D" w:rsidP="00CD292D">
      <w:pPr>
        <w:ind w:firstLine="709"/>
      </w:pPr>
      <w:r>
        <w:t xml:space="preserve">Częstotliwość oraz zakres badań i pomiarów w czasie wytwarzania mieszanki mineralno-asfaltowej powinno być zgodne z certyfikowanym systemem ZKP. </w:t>
      </w:r>
    </w:p>
    <w:p w:rsidR="00CD292D" w:rsidRDefault="00CD292D" w:rsidP="00CD292D">
      <w:pPr>
        <w:spacing w:before="120" w:after="120"/>
      </w:pPr>
      <w:r>
        <w:rPr>
          <w:b/>
          <w:bCs/>
        </w:rPr>
        <w:t>6.4.2.</w:t>
      </w:r>
      <w:r>
        <w:t xml:space="preserve"> Badania w czasie wykonywania warstwy asfaltowej i badania gotowej warstwy   </w:t>
      </w:r>
    </w:p>
    <w:p w:rsidR="00CD292D" w:rsidRDefault="00CD292D" w:rsidP="00CD292D">
      <w:pPr>
        <w:ind w:firstLine="709"/>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CD292D" w:rsidRDefault="00CD292D" w:rsidP="00CD292D">
      <w: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CD292D" w:rsidRDefault="00CD292D" w:rsidP="00CD292D">
      <w:r>
        <w:t>            Wyniki badań Wykonawcy należy przekazywać Inżynierowi na jego żądanie. Inżynier może zdecydować o dokonaniu odbioru na podstawie badań Wykonawcy. W razie zastrzeżeń Inżynier może przeprowadzić badania kontrolne według pktu 6.5.</w:t>
      </w:r>
    </w:p>
    <w:p w:rsidR="00CD292D" w:rsidRDefault="00CD292D" w:rsidP="00CD292D">
      <w:r>
        <w:t>            Zakres badań Wykonawcy związany z wykonywaniem nawierzchni:</w:t>
      </w:r>
    </w:p>
    <w:p w:rsidR="00CD292D" w:rsidRDefault="00CD292D" w:rsidP="00CD292D">
      <w:pPr>
        <w:ind w:left="397" w:hanging="397"/>
      </w:pPr>
      <w:r>
        <w:t>–</w:t>
      </w:r>
      <w:r>
        <w:rPr>
          <w:sz w:val="14"/>
          <w:szCs w:val="14"/>
        </w:rPr>
        <w:t xml:space="preserve">         </w:t>
      </w:r>
      <w:r>
        <w:t>pomiar temperatury powietrza,</w:t>
      </w:r>
    </w:p>
    <w:p w:rsidR="00CD292D" w:rsidRDefault="00CD292D" w:rsidP="00CD292D">
      <w:pPr>
        <w:ind w:left="397" w:hanging="397"/>
      </w:pPr>
      <w:r>
        <w:t>–</w:t>
      </w:r>
      <w:r>
        <w:rPr>
          <w:sz w:val="14"/>
          <w:szCs w:val="14"/>
        </w:rPr>
        <w:t xml:space="preserve">         </w:t>
      </w:r>
      <w:r>
        <w:t>pomiar temperatury mieszanki mineralno-asfaltowej podczas wykonywania nawierzchni (wg PN-EN 12697-13 [40]),</w:t>
      </w:r>
    </w:p>
    <w:p w:rsidR="00CD292D" w:rsidRDefault="00CD292D" w:rsidP="00CD292D">
      <w:pPr>
        <w:ind w:left="397" w:hanging="397"/>
      </w:pPr>
      <w:r>
        <w:t>–</w:t>
      </w:r>
      <w:r>
        <w:rPr>
          <w:sz w:val="14"/>
          <w:szCs w:val="14"/>
        </w:rPr>
        <w:t xml:space="preserve">         </w:t>
      </w:r>
      <w:r>
        <w:t>ocena wizualna mieszanki mineralno-asfaltowej,</w:t>
      </w:r>
    </w:p>
    <w:p w:rsidR="00CD292D" w:rsidRDefault="00CD292D" w:rsidP="00CD292D">
      <w:pPr>
        <w:ind w:left="397" w:hanging="397"/>
      </w:pPr>
      <w:r>
        <w:t>–</w:t>
      </w:r>
      <w:r>
        <w:rPr>
          <w:sz w:val="14"/>
          <w:szCs w:val="14"/>
        </w:rPr>
        <w:t xml:space="preserve">         </w:t>
      </w:r>
      <w:r>
        <w:t>wykaz ilości materiałów lub grubości wykonanej warstwy,</w:t>
      </w:r>
    </w:p>
    <w:p w:rsidR="00CD292D" w:rsidRDefault="00CD292D" w:rsidP="00CD292D">
      <w:pPr>
        <w:ind w:left="397" w:hanging="397"/>
      </w:pPr>
      <w:r>
        <w:t>–</w:t>
      </w:r>
      <w:r>
        <w:rPr>
          <w:sz w:val="14"/>
          <w:szCs w:val="14"/>
        </w:rPr>
        <w:t xml:space="preserve">         </w:t>
      </w:r>
      <w:r>
        <w:t>pomiar spadku poprzecznego warstwy asfaltowej,</w:t>
      </w:r>
    </w:p>
    <w:p w:rsidR="00CD292D" w:rsidRDefault="00CD292D" w:rsidP="00CD292D">
      <w:pPr>
        <w:ind w:left="397" w:hanging="397"/>
      </w:pPr>
      <w:r>
        <w:t>–</w:t>
      </w:r>
      <w:r>
        <w:rPr>
          <w:sz w:val="14"/>
          <w:szCs w:val="14"/>
        </w:rPr>
        <w:t xml:space="preserve">         </w:t>
      </w:r>
      <w:r>
        <w:t>pomiar równości warstwy asfaltowej (wg pktu 6.5.4.4),</w:t>
      </w:r>
    </w:p>
    <w:p w:rsidR="00CD292D" w:rsidRDefault="00CD292D" w:rsidP="00CD292D">
      <w:pPr>
        <w:ind w:left="397" w:hanging="397"/>
      </w:pPr>
      <w:r>
        <w:t>–</w:t>
      </w:r>
      <w:r>
        <w:rPr>
          <w:sz w:val="14"/>
          <w:szCs w:val="14"/>
        </w:rPr>
        <w:t xml:space="preserve">         </w:t>
      </w:r>
      <w:r>
        <w:t>pomiar parametrów geometrycznych poboczy,</w:t>
      </w:r>
    </w:p>
    <w:p w:rsidR="00CD292D" w:rsidRDefault="00CD292D" w:rsidP="00CD292D">
      <w:pPr>
        <w:ind w:left="397" w:hanging="397"/>
      </w:pPr>
      <w:r>
        <w:t>–</w:t>
      </w:r>
      <w:r>
        <w:rPr>
          <w:sz w:val="14"/>
          <w:szCs w:val="14"/>
        </w:rPr>
        <w:t xml:space="preserve">         </w:t>
      </w:r>
      <w:r>
        <w:t>ocena wizualna jednorodności powierzchni warstwy,</w:t>
      </w:r>
    </w:p>
    <w:p w:rsidR="00CD292D" w:rsidRDefault="00CD292D" w:rsidP="00CD292D">
      <w:pPr>
        <w:ind w:left="397" w:hanging="397"/>
      </w:pPr>
      <w:r>
        <w:t>–</w:t>
      </w:r>
      <w:r>
        <w:rPr>
          <w:sz w:val="14"/>
          <w:szCs w:val="14"/>
        </w:rPr>
        <w:t xml:space="preserve">         </w:t>
      </w:r>
      <w:r>
        <w:t>ocena wizualna jakości wykonania połączeń technologicznych.</w:t>
      </w:r>
    </w:p>
    <w:p w:rsidR="00CD292D" w:rsidRDefault="00CD292D" w:rsidP="00CD292D">
      <w:pPr>
        <w:pStyle w:val="Nagwek2"/>
        <w:rPr>
          <w:rFonts w:eastAsia="Times New Roman"/>
        </w:rPr>
      </w:pPr>
      <w:r>
        <w:rPr>
          <w:rFonts w:eastAsia="Times New Roman"/>
        </w:rPr>
        <w:t>6.5. Badania kontrolne Zamawiającego</w:t>
      </w:r>
    </w:p>
    <w:p w:rsidR="00CD292D" w:rsidRDefault="00CD292D" w:rsidP="00CD292D">
      <w:pPr>
        <w:rPr>
          <w:rFonts w:eastAsiaTheme="minorEastAsia"/>
        </w:rPr>
      </w:pPr>
      <w: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CD292D" w:rsidRDefault="00CD292D" w:rsidP="00CD292D">
      <w:pPr>
        <w:pStyle w:val="Wcicienormalne"/>
        <w:spacing w:before="0" w:after="0"/>
        <w:ind w:left="0" w:firstLine="709"/>
      </w:pPr>
      <w:r>
        <w:lastRenderedPageBreak/>
        <w:t xml:space="preserve">Rodzaj i zakres badań kontrolnych Zamawiającego mieszanki mineralno-asfaltowej i wykonanej warstwy jest następujący: </w:t>
      </w:r>
    </w:p>
    <w:p w:rsidR="00CD292D" w:rsidRDefault="00CD292D" w:rsidP="00CD292D">
      <w:pPr>
        <w:ind w:left="397" w:hanging="397"/>
      </w:pPr>
      <w:r>
        <w:rPr>
          <w:sz w:val="16"/>
          <w:szCs w:val="16"/>
        </w:rPr>
        <w:t>–</w:t>
      </w:r>
      <w:r>
        <w:rPr>
          <w:sz w:val="14"/>
          <w:szCs w:val="14"/>
        </w:rPr>
        <w:t xml:space="preserve">          </w:t>
      </w:r>
      <w:r>
        <w:t>badania materiałów wsadowych do mieszanki mineralno-asfaltowej (asfaltów, kruszyw, wypełniacza  i dodatków).</w:t>
      </w:r>
    </w:p>
    <w:p w:rsidR="00CD292D" w:rsidRDefault="00CD292D" w:rsidP="00CD292D">
      <w:pPr>
        <w:pStyle w:val="Wcicienormalne"/>
        <w:spacing w:before="0" w:after="0"/>
        <w:ind w:left="0"/>
      </w:pPr>
      <w:r>
        <w:t xml:space="preserve">Mieszanka mineralno-asfaltowa </w:t>
      </w:r>
      <w:r>
        <w:rPr>
          <w:vertAlign w:val="superscript"/>
        </w:rPr>
        <w:t>a)</w:t>
      </w:r>
      <w:r>
        <w:t>:</w:t>
      </w:r>
    </w:p>
    <w:p w:rsidR="00CD292D" w:rsidRDefault="00CD292D" w:rsidP="00CD292D">
      <w:pPr>
        <w:pStyle w:val="Wcicienormalne"/>
        <w:spacing w:before="0" w:after="0"/>
        <w:ind w:left="360" w:hanging="360"/>
      </w:pPr>
      <w:r>
        <w:rPr>
          <w:sz w:val="16"/>
          <w:szCs w:val="16"/>
        </w:rPr>
        <w:t>–</w:t>
      </w:r>
      <w:r>
        <w:rPr>
          <w:sz w:val="14"/>
          <w:szCs w:val="14"/>
        </w:rPr>
        <w:t xml:space="preserve">         </w:t>
      </w:r>
      <w:r>
        <w:t>uziarnienie,</w:t>
      </w:r>
    </w:p>
    <w:p w:rsidR="00CD292D" w:rsidRDefault="00CD292D" w:rsidP="00CD292D">
      <w:pPr>
        <w:pStyle w:val="Wcicienormalne"/>
        <w:spacing w:before="0" w:after="0"/>
        <w:ind w:left="360" w:hanging="360"/>
      </w:pPr>
      <w:r>
        <w:rPr>
          <w:sz w:val="16"/>
          <w:szCs w:val="16"/>
        </w:rPr>
        <w:t>–</w:t>
      </w:r>
      <w:r>
        <w:rPr>
          <w:sz w:val="14"/>
          <w:szCs w:val="14"/>
        </w:rPr>
        <w:t xml:space="preserve">         </w:t>
      </w:r>
      <w:r>
        <w:t>zawartość lepiszcza,</w:t>
      </w:r>
    </w:p>
    <w:p w:rsidR="00CD292D" w:rsidRDefault="00CD292D" w:rsidP="00CD292D">
      <w:pPr>
        <w:pStyle w:val="Wcicienormalne"/>
        <w:spacing w:before="0" w:after="0"/>
        <w:ind w:left="360" w:hanging="360"/>
      </w:pPr>
      <w:r>
        <w:rPr>
          <w:sz w:val="16"/>
          <w:szCs w:val="16"/>
        </w:rPr>
        <w:t>–</w:t>
      </w:r>
      <w:r>
        <w:rPr>
          <w:sz w:val="14"/>
          <w:szCs w:val="14"/>
        </w:rPr>
        <w:t xml:space="preserve">         </w:t>
      </w:r>
      <w:r>
        <w:t>temperatura mięknienia odzyskanego lepiszcza,</w:t>
      </w:r>
    </w:p>
    <w:p w:rsidR="00CD292D" w:rsidRDefault="00CD292D" w:rsidP="00CD292D">
      <w:pPr>
        <w:pStyle w:val="Wcicienormalne"/>
        <w:spacing w:before="0" w:after="0"/>
        <w:ind w:left="360" w:hanging="360"/>
      </w:pPr>
      <w:r>
        <w:rPr>
          <w:sz w:val="16"/>
          <w:szCs w:val="16"/>
        </w:rPr>
        <w:t>–</w:t>
      </w:r>
      <w:r>
        <w:rPr>
          <w:sz w:val="14"/>
          <w:szCs w:val="14"/>
        </w:rPr>
        <w:t xml:space="preserve">         </w:t>
      </w:r>
      <w:r>
        <w:t>gęstość i zawartość wolnych przestrzeni próbki.</w:t>
      </w:r>
    </w:p>
    <w:p w:rsidR="00CD292D" w:rsidRDefault="00CD292D" w:rsidP="00CD292D">
      <w:r>
        <w:t>Warunki technologiczne wbudowywania mieszanki mineralno-asfaltowej:</w:t>
      </w:r>
    </w:p>
    <w:p w:rsidR="00CD292D" w:rsidRDefault="00CD292D" w:rsidP="00CD292D">
      <w:pPr>
        <w:ind w:left="397" w:hanging="397"/>
      </w:pPr>
      <w:r>
        <w:rPr>
          <w:sz w:val="16"/>
          <w:szCs w:val="16"/>
        </w:rPr>
        <w:t>–</w:t>
      </w:r>
      <w:r>
        <w:rPr>
          <w:sz w:val="14"/>
          <w:szCs w:val="14"/>
        </w:rPr>
        <w:t xml:space="preserve">          </w:t>
      </w:r>
      <w:r>
        <w:t>pomiar temperatury powietrza podczas pobrania  próby do badań,</w:t>
      </w:r>
    </w:p>
    <w:p w:rsidR="00CD292D" w:rsidRDefault="00CD292D" w:rsidP="00CD292D">
      <w:pPr>
        <w:ind w:left="397" w:hanging="397"/>
      </w:pPr>
      <w:r>
        <w:rPr>
          <w:sz w:val="16"/>
          <w:szCs w:val="16"/>
        </w:rPr>
        <w:t>–</w:t>
      </w:r>
      <w:r>
        <w:rPr>
          <w:sz w:val="14"/>
          <w:szCs w:val="14"/>
        </w:rPr>
        <w:t xml:space="preserve">          </w:t>
      </w:r>
      <w:r>
        <w:t>pomiar temperatury mieszanki mineralno-asfaltowej,</w:t>
      </w:r>
    </w:p>
    <w:p w:rsidR="00CD292D" w:rsidRDefault="00CD292D" w:rsidP="00CD292D">
      <w:pPr>
        <w:ind w:left="397" w:hanging="397"/>
      </w:pPr>
      <w:r>
        <w:rPr>
          <w:sz w:val="16"/>
          <w:szCs w:val="16"/>
        </w:rPr>
        <w:t>–</w:t>
      </w:r>
      <w:r>
        <w:rPr>
          <w:sz w:val="14"/>
          <w:szCs w:val="14"/>
        </w:rPr>
        <w:t xml:space="preserve">          </w:t>
      </w:r>
      <w:r>
        <w:t>ocena wizualna dostarczonej mieszanki mineralno-asfaltowej.</w:t>
      </w:r>
    </w:p>
    <w:p w:rsidR="00CD292D" w:rsidRDefault="00CD292D" w:rsidP="00CD292D">
      <w:r>
        <w:t>Wykonana warstwa:</w:t>
      </w:r>
    </w:p>
    <w:p w:rsidR="00CD292D" w:rsidRDefault="00CD292D" w:rsidP="00CD292D">
      <w:pPr>
        <w:pStyle w:val="Wcicienormalne"/>
        <w:spacing w:before="0" w:after="0"/>
        <w:ind w:left="360" w:hanging="360"/>
      </w:pPr>
      <w:r>
        <w:rPr>
          <w:sz w:val="16"/>
          <w:szCs w:val="16"/>
        </w:rPr>
        <w:t>–</w:t>
      </w:r>
      <w:r>
        <w:rPr>
          <w:sz w:val="14"/>
          <w:szCs w:val="14"/>
        </w:rPr>
        <w:t xml:space="preserve">         </w:t>
      </w:r>
      <w:r>
        <w:t>wskaźnik zagęszczenia</w:t>
      </w:r>
    </w:p>
    <w:p w:rsidR="00CD292D" w:rsidRDefault="00CD292D" w:rsidP="00CD292D">
      <w:pPr>
        <w:pStyle w:val="Wcicienormalne"/>
        <w:spacing w:before="0" w:after="0"/>
        <w:ind w:left="360" w:hanging="360"/>
      </w:pPr>
      <w:r>
        <w:rPr>
          <w:sz w:val="16"/>
          <w:szCs w:val="16"/>
        </w:rPr>
        <w:t>–</w:t>
      </w:r>
      <w:r>
        <w:rPr>
          <w:sz w:val="14"/>
          <w:szCs w:val="14"/>
        </w:rPr>
        <w:t xml:space="preserve">         </w:t>
      </w:r>
      <w:r>
        <w:t>grubość warstwy lub ilość zużytego materiału,</w:t>
      </w:r>
    </w:p>
    <w:p w:rsidR="00CD292D" w:rsidRDefault="00CD292D" w:rsidP="00CD292D">
      <w:pPr>
        <w:pStyle w:val="Wcicienormalne"/>
        <w:spacing w:before="0" w:after="0"/>
        <w:ind w:left="360" w:hanging="360"/>
      </w:pPr>
      <w:r>
        <w:rPr>
          <w:sz w:val="16"/>
          <w:szCs w:val="16"/>
        </w:rPr>
        <w:t>–</w:t>
      </w:r>
      <w:r>
        <w:rPr>
          <w:sz w:val="14"/>
          <w:szCs w:val="14"/>
        </w:rPr>
        <w:t xml:space="preserve">         </w:t>
      </w:r>
      <w:r>
        <w:t>równość podłużna i poprzeczna,</w:t>
      </w:r>
    </w:p>
    <w:p w:rsidR="00CD292D" w:rsidRDefault="00CD292D" w:rsidP="00CD292D">
      <w:pPr>
        <w:pStyle w:val="Wcicienormalne"/>
        <w:spacing w:before="0" w:after="0"/>
        <w:ind w:left="360" w:hanging="360"/>
      </w:pPr>
      <w:r>
        <w:rPr>
          <w:sz w:val="16"/>
          <w:szCs w:val="16"/>
        </w:rPr>
        <w:t>–</w:t>
      </w:r>
      <w:r>
        <w:rPr>
          <w:sz w:val="14"/>
          <w:szCs w:val="14"/>
        </w:rPr>
        <w:t xml:space="preserve">         </w:t>
      </w:r>
      <w:r>
        <w:t>spadki poprzeczne,</w:t>
      </w:r>
    </w:p>
    <w:p w:rsidR="00CD292D" w:rsidRDefault="00CD292D" w:rsidP="00CD292D">
      <w:pPr>
        <w:pStyle w:val="Wcicienormalne"/>
        <w:spacing w:before="0" w:after="0"/>
        <w:ind w:left="360" w:hanging="360"/>
      </w:pPr>
      <w:r>
        <w:rPr>
          <w:sz w:val="16"/>
          <w:szCs w:val="16"/>
        </w:rPr>
        <w:t>–</w:t>
      </w:r>
      <w:r>
        <w:rPr>
          <w:sz w:val="14"/>
          <w:szCs w:val="14"/>
        </w:rPr>
        <w:t xml:space="preserve">         </w:t>
      </w:r>
      <w:r>
        <w:t>zawartość wolnych przestrzeni,</w:t>
      </w:r>
    </w:p>
    <w:p w:rsidR="00CD292D" w:rsidRDefault="00CD292D" w:rsidP="00CD292D">
      <w:pPr>
        <w:pStyle w:val="Wcicienormalne"/>
        <w:spacing w:before="0" w:after="0"/>
        <w:ind w:left="360" w:hanging="360"/>
      </w:pPr>
      <w:r>
        <w:rPr>
          <w:sz w:val="16"/>
          <w:szCs w:val="16"/>
        </w:rPr>
        <w:t>–</w:t>
      </w:r>
      <w:r>
        <w:rPr>
          <w:sz w:val="14"/>
          <w:szCs w:val="14"/>
        </w:rPr>
        <w:t xml:space="preserve">         </w:t>
      </w:r>
      <w:r>
        <w:t>złącza technologiczne,</w:t>
      </w:r>
    </w:p>
    <w:p w:rsidR="00CD292D" w:rsidRDefault="00CD292D" w:rsidP="00CD292D">
      <w:pPr>
        <w:pStyle w:val="Wcicienormalne"/>
        <w:spacing w:before="0" w:after="0"/>
        <w:ind w:left="360" w:hanging="360"/>
      </w:pPr>
      <w:r>
        <w:rPr>
          <w:sz w:val="16"/>
          <w:szCs w:val="16"/>
        </w:rPr>
        <w:t>–</w:t>
      </w:r>
      <w:r>
        <w:rPr>
          <w:sz w:val="14"/>
          <w:szCs w:val="14"/>
        </w:rPr>
        <w:t xml:space="preserve">         </w:t>
      </w:r>
      <w:r>
        <w:t>szerokość warstwy,</w:t>
      </w:r>
    </w:p>
    <w:p w:rsidR="00CD292D" w:rsidRDefault="00CD292D" w:rsidP="00CD292D">
      <w:pPr>
        <w:pStyle w:val="Wcicienormalne"/>
        <w:spacing w:before="0" w:after="0"/>
        <w:ind w:left="360" w:hanging="360"/>
      </w:pPr>
      <w:r>
        <w:rPr>
          <w:sz w:val="16"/>
          <w:szCs w:val="16"/>
        </w:rPr>
        <w:t>–</w:t>
      </w:r>
      <w:r>
        <w:rPr>
          <w:sz w:val="14"/>
          <w:szCs w:val="14"/>
        </w:rPr>
        <w:t xml:space="preserve">         </w:t>
      </w:r>
      <w:r>
        <w:t>rzędne wysokościowe,</w:t>
      </w:r>
    </w:p>
    <w:p w:rsidR="00CD292D" w:rsidRDefault="00CD292D" w:rsidP="00CD292D">
      <w:pPr>
        <w:pStyle w:val="Wcicienormalne"/>
        <w:spacing w:before="0" w:after="0"/>
        <w:ind w:left="360" w:hanging="360"/>
      </w:pPr>
      <w:r>
        <w:rPr>
          <w:sz w:val="16"/>
          <w:szCs w:val="16"/>
        </w:rPr>
        <w:t>–</w:t>
      </w:r>
      <w:r>
        <w:rPr>
          <w:sz w:val="14"/>
          <w:szCs w:val="14"/>
        </w:rPr>
        <w:t xml:space="preserve">         </w:t>
      </w:r>
      <w:r>
        <w:t>ukształtowanie osi w planie,</w:t>
      </w:r>
    </w:p>
    <w:p w:rsidR="00CD292D" w:rsidRDefault="00CD292D" w:rsidP="00CD292D">
      <w:pPr>
        <w:pStyle w:val="Wcicienormalne"/>
        <w:spacing w:before="0" w:after="0"/>
        <w:ind w:left="360" w:hanging="360"/>
      </w:pPr>
      <w:r>
        <w:rPr>
          <w:sz w:val="16"/>
          <w:szCs w:val="16"/>
        </w:rPr>
        <w:t>–</w:t>
      </w:r>
      <w:r>
        <w:rPr>
          <w:sz w:val="14"/>
          <w:szCs w:val="14"/>
        </w:rPr>
        <w:t xml:space="preserve">         </w:t>
      </w:r>
      <w:r>
        <w:t>ocena wizualna warstwy.</w:t>
      </w:r>
    </w:p>
    <w:p w:rsidR="00CD292D" w:rsidRDefault="00CD292D" w:rsidP="00CD292D">
      <w:pPr>
        <w:keepNext/>
      </w:pPr>
      <w:r>
        <w:rPr>
          <w:vertAlign w:val="superscript"/>
        </w:rPr>
        <w:t>a)</w:t>
      </w:r>
      <w:r>
        <w:t xml:space="preserve">  w razie potrzeby specjalne kruszywa i dodatki.</w:t>
      </w:r>
    </w:p>
    <w:p w:rsidR="00CD292D" w:rsidRDefault="00CD292D" w:rsidP="00CD292D">
      <w:pPr>
        <w:spacing w:before="120" w:after="120"/>
      </w:pPr>
      <w:r>
        <w:rPr>
          <w:b/>
          <w:bCs/>
        </w:rPr>
        <w:t>6.5.1.</w:t>
      </w:r>
      <w:r>
        <w:t xml:space="preserve"> Badanie materiałów wsadowych</w:t>
      </w:r>
    </w:p>
    <w:p w:rsidR="00CD292D" w:rsidRDefault="00CD292D" w:rsidP="00CD292D">
      <w:pPr>
        <w:ind w:firstLine="709"/>
      </w:pPr>
      <w:r>
        <w:t xml:space="preserve">Właściwości materiałów wsadowych należy oceniać na podstawie badań pobranych próbek w miejscu produkcji  mieszanki mineralno-asfaltowej. </w:t>
      </w:r>
    </w:p>
    <w:p w:rsidR="00CD292D" w:rsidRDefault="00CD292D" w:rsidP="00CD292D">
      <w:pPr>
        <w:ind w:firstLine="709"/>
      </w:pPr>
      <w:r>
        <w:t xml:space="preserve">Do oceny jakości materiałów wsadowych mieszanki mineralno-asfaltowej, za zgodą nadzoru i Zamawiającego mogą posłużyć wyniki badań wykonanych w ramach zakładowej kontroli produkcji. </w:t>
      </w:r>
    </w:p>
    <w:p w:rsidR="00CD292D" w:rsidRDefault="00CD292D" w:rsidP="00CD292D">
      <w:pPr>
        <w:spacing w:before="120" w:after="120"/>
        <w:ind w:right="-57"/>
      </w:pPr>
      <w:r>
        <w:rPr>
          <w:color w:val="000000"/>
        </w:rPr>
        <w:t>6.5.1.1.</w:t>
      </w:r>
      <w:r>
        <w:rPr>
          <w:b/>
          <w:bCs/>
          <w:color w:val="000000"/>
        </w:rPr>
        <w:t xml:space="preserve"> </w:t>
      </w:r>
      <w:r>
        <w:rPr>
          <w:color w:val="000000"/>
        </w:rPr>
        <w:t>Kruszywa i wypełniacz</w:t>
      </w:r>
    </w:p>
    <w:p w:rsidR="00CD292D" w:rsidRDefault="00CD292D" w:rsidP="00CD292D">
      <w:pPr>
        <w:ind w:right="-57" w:firstLine="709"/>
      </w:pPr>
      <w:r>
        <w:rPr>
          <w:color w:val="000000"/>
        </w:rPr>
        <w:t xml:space="preserve">Z kruszywa należy pobrać i zbadać średnie próbki. Wielkość pobranej średniej próbki nie może być mniejsza niż: </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wypełniacz                                                         2 kg,</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kruszywa o uziarnieniu do 8 mm                       5 kg,</w:t>
      </w:r>
    </w:p>
    <w:p w:rsidR="00CD292D" w:rsidRDefault="00CD292D" w:rsidP="00CD292D">
      <w:pPr>
        <w:ind w:left="426" w:right="-57" w:hanging="426"/>
      </w:pPr>
      <w:r>
        <w:rPr>
          <w:rFonts w:ascii="Symbol" w:hAnsi="Symbol"/>
          <w:color w:val="000000"/>
        </w:rPr>
        <w:t></w:t>
      </w:r>
      <w:r>
        <w:rPr>
          <w:color w:val="000000"/>
          <w:sz w:val="14"/>
          <w:szCs w:val="14"/>
        </w:rPr>
        <w:t xml:space="preserve">          </w:t>
      </w:r>
      <w:r>
        <w:rPr>
          <w:color w:val="000000"/>
        </w:rPr>
        <w:t>kruszywa o uziarnieniu powyżej 8 mm              15 kg.</w:t>
      </w:r>
    </w:p>
    <w:p w:rsidR="00CD292D" w:rsidRDefault="00CD292D" w:rsidP="00CD292D">
      <w:pPr>
        <w:ind w:right="-57"/>
      </w:pPr>
      <w:r>
        <w:rPr>
          <w:color w:val="000000"/>
        </w:rPr>
        <w:t>            Wypełniacz i kruszywa powinny spełniać wymagania podane w pkcie  2.4.</w:t>
      </w:r>
    </w:p>
    <w:p w:rsidR="00CD292D" w:rsidRDefault="00CD292D" w:rsidP="00CD292D">
      <w:pPr>
        <w:spacing w:before="120" w:after="120"/>
        <w:ind w:right="-57"/>
      </w:pPr>
      <w:r>
        <w:rPr>
          <w:color w:val="000000"/>
        </w:rPr>
        <w:t xml:space="preserve">6.5.1.2. Lepiszcze </w:t>
      </w:r>
    </w:p>
    <w:p w:rsidR="00CD292D" w:rsidRDefault="00CD292D" w:rsidP="00CD292D">
      <w:pPr>
        <w:ind w:right="-57" w:firstLine="709"/>
      </w:pPr>
      <w:r>
        <w:rPr>
          <w:color w:val="000000"/>
        </w:rPr>
        <w:lastRenderedPageBreak/>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rsidR="00CD292D" w:rsidRDefault="00CD292D" w:rsidP="00CD292D">
      <w:pPr>
        <w:ind w:right="-57" w:firstLine="709"/>
      </w:pPr>
      <w:r>
        <w:rPr>
          <w:color w:val="000000"/>
        </w:rPr>
        <w:t>Asfalty powinny spełniać wymagania podane w pkcie 2.2 i 2.3.</w:t>
      </w:r>
    </w:p>
    <w:p w:rsidR="00CD292D" w:rsidRDefault="00CD292D" w:rsidP="00CD292D">
      <w:pPr>
        <w:spacing w:before="120" w:after="120"/>
        <w:ind w:right="-57"/>
      </w:pPr>
      <w:r>
        <w:rPr>
          <w:color w:val="000000"/>
        </w:rPr>
        <w:t xml:space="preserve">6.5.1.3. Materiały do uszczelniania połączeń </w:t>
      </w:r>
    </w:p>
    <w:p w:rsidR="00CD292D" w:rsidRDefault="00CD292D" w:rsidP="00CD292D">
      <w:pPr>
        <w:ind w:right="-57" w:firstLine="709"/>
      </w:pPr>
      <w:r>
        <w:t>Z lepiszcza lub materiałów termoplastycznych należy pobrać próbki średnie składające się z 3 próbek częściowych po 2 kg. Z tego jedną próbkę częściową należy</w:t>
      </w:r>
      <w:r>
        <w:rPr>
          <w:color w:val="000000"/>
        </w:rPr>
        <w:t xml:space="preserve"> poddać badaniom. Ponadto należy pobrać i zbadać kolejną próbkę, jeżeli zewnętrzny wygląd (jednolitość, kolor, połysk, zapach, zanieczyszczenia) może budzić obawy.</w:t>
      </w:r>
    </w:p>
    <w:p w:rsidR="00CD292D" w:rsidRDefault="00CD292D" w:rsidP="00CD292D">
      <w:pPr>
        <w:ind w:right="-57" w:firstLine="709"/>
      </w:pPr>
      <w:r>
        <w:rPr>
          <w:color w:val="000000"/>
        </w:rPr>
        <w:t>Materiały do uszczelniania połączeń powinny spełniać wymagania podane w pkcie 2.7.</w:t>
      </w:r>
    </w:p>
    <w:p w:rsidR="00CD292D" w:rsidRDefault="00CD292D" w:rsidP="00CD292D">
      <w:pPr>
        <w:spacing w:before="120" w:after="120"/>
        <w:ind w:right="-57"/>
      </w:pPr>
      <w:r>
        <w:rPr>
          <w:b/>
          <w:bCs/>
          <w:color w:val="000000"/>
        </w:rPr>
        <w:t>6.5.2.</w:t>
      </w:r>
      <w:r>
        <w:rPr>
          <w:color w:val="000000"/>
        </w:rPr>
        <w:t xml:space="preserve"> Badania mieszanki mineralno-asfaltowej  </w:t>
      </w:r>
    </w:p>
    <w:p w:rsidR="00CD292D" w:rsidRDefault="00CD292D" w:rsidP="00CD292D">
      <w:pPr>
        <w:ind w:firstLine="709"/>
      </w:pPr>
      <w: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CD292D" w:rsidRDefault="00CD292D" w:rsidP="00CD292D">
      <w:pPr>
        <w:ind w:firstLine="709"/>
      </w:pPr>
      <w:r>
        <w:t xml:space="preserve">Do oceny jakości mieszanki mineralno-asfaltowej za zgodą nadzoru i Zamawiającego mogą posłużyć wyniki badań wykonanych w ramach zakładowej kontroli produkcji.  </w:t>
      </w:r>
    </w:p>
    <w:p w:rsidR="00CD292D" w:rsidRDefault="00CD292D" w:rsidP="00CD292D">
      <w:pPr>
        <w:ind w:firstLine="709"/>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CD292D" w:rsidRDefault="00CD292D" w:rsidP="00CD292D">
      <w:pPr>
        <w:ind w:firstLine="709"/>
      </w:pPr>
      <w:r>
        <w:t xml:space="preserve">Właściwości materiałów budowlanych należy określać dla każdej warstwy technologicznej, a metody badań powinny być zgodne z wymaganiami podanymi poniżej, chyba że ST lub dokumentacja projektowa podają inaczej. </w:t>
      </w:r>
    </w:p>
    <w:p w:rsidR="00CD292D" w:rsidRDefault="00CD292D" w:rsidP="00CD292D">
      <w:pPr>
        <w:keepNext/>
        <w:spacing w:before="120" w:after="120"/>
      </w:pPr>
      <w:r>
        <w:t xml:space="preserve">6.5.2.1. Uziarnienie </w:t>
      </w:r>
    </w:p>
    <w:p w:rsidR="00CD292D" w:rsidRDefault="00CD292D" w:rsidP="00CD292D">
      <w:pPr>
        <w:ind w:right="-57" w:firstLine="709"/>
      </w:pPr>
      <w:r>
        <w:rPr>
          <w:color w:val="000000"/>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rsidR="00CD292D" w:rsidRDefault="00CD292D" w:rsidP="00CD292D">
      <w:pPr>
        <w:spacing w:before="120" w:after="120"/>
        <w:ind w:left="1321" w:right="-57" w:hanging="1321"/>
      </w:pPr>
      <w:r>
        <w:rPr>
          <w:color w:val="000000"/>
        </w:rPr>
        <w:t xml:space="preserve">Tablica 29.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3188"/>
        <w:gridCol w:w="741"/>
        <w:gridCol w:w="1020"/>
        <w:gridCol w:w="1069"/>
        <w:gridCol w:w="1069"/>
        <w:gridCol w:w="1187"/>
        <w:gridCol w:w="778"/>
      </w:tblGrid>
      <w:tr w:rsidR="00CD292D" w:rsidTr="00CD292D">
        <w:tc>
          <w:tcPr>
            <w:tcW w:w="322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ind w:right="-57"/>
              <w:jc w:val="center"/>
            </w:pPr>
            <w:r>
              <w:rPr>
                <w:color w:val="000000"/>
              </w:rPr>
              <w:t>Kruszywo o wymiarze</w:t>
            </w:r>
          </w:p>
        </w:tc>
        <w:tc>
          <w:tcPr>
            <w:tcW w:w="558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Liczba wyników badań</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3do 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5 do 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9 do 19</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≥20</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rPr>
                <w:color w:val="000000"/>
              </w:rPr>
              <w:t>&lt; 0,063 mm [%(m/m)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±2,4</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rPr>
                <w:color w:val="000000"/>
              </w:rPr>
              <w:t>&lt; 0,063 mm [%(m/m)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±1,8</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±1,5</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rPr>
                <w:color w:val="000000"/>
              </w:rPr>
              <w:t>&lt; 0,125 mm, [%(m/m)] –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±2,7</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rPr>
                <w:color w:val="000000"/>
              </w:rPr>
              <w:lastRenderedPageBreak/>
              <w:t>&lt;0,125 mm, [%(m/m)] –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±2,5</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80" w:after="60"/>
              <w:jc w:val="center"/>
            </w:pPr>
            <w:r>
              <w:rPr>
                <w:color w:val="000000"/>
              </w:rPr>
              <w:t>±2,0</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pPr>
            <w:r>
              <w:rPr>
                <w:color w:val="000000"/>
              </w:rPr>
              <w:t>Od 0,063 mm do 2 mm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±3,0</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pPr>
            <w:r>
              <w:rPr>
                <w:color w:val="000000"/>
              </w:rPr>
              <w:t xml:space="preserve">&gt; 2 mm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rPr>
                <w:color w:val="000000"/>
              </w:rPr>
              <w:t>±3,0</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 xml:space="preserve">Ziarna grube </w:t>
            </w:r>
          </w:p>
          <w:p w:rsidR="00CD292D" w:rsidRDefault="00CD292D">
            <w:pPr>
              <w:ind w:right="-57"/>
            </w:pPr>
            <w:r>
              <w:rPr>
                <w:color w:val="000000"/>
              </w:rPr>
              <w:t>(mieszanki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-8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-6,7   +4,7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-5,8   +4,5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-5,1   +4,3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-4,4   </w:t>
            </w:r>
          </w:p>
          <w:p w:rsidR="00CD292D" w:rsidRDefault="00CD292D">
            <w:pPr>
              <w:ind w:right="-57"/>
              <w:jc w:val="center"/>
            </w:pPr>
            <w:r>
              <w:rPr>
                <w:color w:val="000000"/>
              </w:rPr>
              <w:t>+4,1</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ind w:right="-57"/>
              <w:jc w:val="center"/>
            </w:pPr>
            <w:r>
              <w:rPr>
                <w:color w:val="000000"/>
              </w:rPr>
              <w:t>±4,0</w:t>
            </w:r>
          </w:p>
        </w:tc>
      </w:tr>
      <w:tr w:rsidR="00CD292D" w:rsidTr="00CD292D">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 xml:space="preserve">Ziarna grube </w:t>
            </w:r>
          </w:p>
          <w:p w:rsidR="00CD292D" w:rsidRDefault="00CD292D">
            <w:pPr>
              <w:ind w:right="-57"/>
            </w:pPr>
            <w:r>
              <w:rPr>
                <w:color w:val="000000"/>
              </w:rPr>
              <w:t>(mieszanki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-9 +5,0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-7,6 </w:t>
            </w:r>
          </w:p>
          <w:p w:rsidR="00CD292D" w:rsidRDefault="00CD292D">
            <w:pPr>
              <w:ind w:right="-57"/>
              <w:jc w:val="center"/>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-6,8 </w:t>
            </w:r>
          </w:p>
          <w:p w:rsidR="00CD292D" w:rsidRDefault="00CD292D">
            <w:pPr>
              <w:ind w:right="-57"/>
              <w:jc w:val="center"/>
            </w:pPr>
            <w:r>
              <w:rPr>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-6,1 </w:t>
            </w:r>
          </w:p>
          <w:p w:rsidR="00CD292D" w:rsidRDefault="00CD292D">
            <w:pPr>
              <w:ind w:right="-57"/>
              <w:jc w:val="center"/>
            </w:pPr>
            <w:r>
              <w:rPr>
                <w:color w:val="000000"/>
              </w:rPr>
              <w:t>+5,0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 xml:space="preserve">-5,5 </w:t>
            </w:r>
          </w:p>
          <w:p w:rsidR="00CD292D" w:rsidRDefault="00CD292D">
            <w:pPr>
              <w:ind w:right="-57"/>
              <w:jc w:val="center"/>
            </w:pPr>
            <w:r>
              <w:rPr>
                <w:color w:val="000000"/>
              </w:rPr>
              <w:t>+5,0</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ind w:right="-57"/>
              <w:jc w:val="center"/>
            </w:pPr>
            <w:r>
              <w:rPr>
                <w:color w:val="000000"/>
              </w:rPr>
              <w:t>±5,0</w:t>
            </w:r>
          </w:p>
        </w:tc>
      </w:tr>
    </w:tbl>
    <w:p w:rsidR="00CD292D" w:rsidRDefault="00CD292D" w:rsidP="00CD292D">
      <w:pPr>
        <w:rPr>
          <w:rFonts w:eastAsiaTheme="minorEastAsia"/>
        </w:rPr>
      </w:pPr>
      <w:r>
        <w:t> </w:t>
      </w:r>
    </w:p>
    <w:p w:rsidR="00CD292D" w:rsidRDefault="00CD292D" w:rsidP="00CD292D">
      <w:pPr>
        <w:keepNext/>
        <w:spacing w:after="120"/>
      </w:pPr>
      <w:r>
        <w:rPr>
          <w:color w:val="000000"/>
        </w:rPr>
        <w:t xml:space="preserve">6.5.2.2. Zawartość lepiszcza </w:t>
      </w:r>
    </w:p>
    <w:p w:rsidR="00CD292D" w:rsidRDefault="00CD292D" w:rsidP="00CD292D">
      <w:pPr>
        <w:ind w:right="-57" w:firstLine="709"/>
      </w:pPr>
      <w:r>
        <w:rPr>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rsidR="00CD292D" w:rsidRDefault="00CD292D" w:rsidP="00CD292D">
      <w:pPr>
        <w:spacing w:before="120" w:after="120"/>
        <w:ind w:left="1200" w:right="-57" w:hanging="1200"/>
      </w:pPr>
      <w:r>
        <w:rPr>
          <w:color w:val="000000"/>
        </w:rPr>
        <w:t>Tablica 30.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1652"/>
        <w:gridCol w:w="976"/>
        <w:gridCol w:w="960"/>
        <w:gridCol w:w="1164"/>
        <w:gridCol w:w="1320"/>
        <w:gridCol w:w="1596"/>
        <w:gridCol w:w="1200"/>
      </w:tblGrid>
      <w:tr w:rsidR="00CD292D" w:rsidTr="00CD292D">
        <w:tc>
          <w:tcPr>
            <w:tcW w:w="1652"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CD292D" w:rsidRDefault="00CD292D">
            <w:pPr>
              <w:spacing w:before="120" w:after="120"/>
              <w:ind w:right="-57"/>
              <w:jc w:val="center"/>
            </w:pPr>
            <w:r>
              <w:rPr>
                <w:color w:val="000000"/>
              </w:rPr>
              <w:t>Rodzaj mieszanki</w:t>
            </w:r>
          </w:p>
        </w:tc>
        <w:tc>
          <w:tcPr>
            <w:tcW w:w="721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Liczba wyników badań</w:t>
            </w:r>
          </w:p>
        </w:tc>
      </w:tr>
      <w:tr w:rsidR="00CD292D" w:rsidTr="00CD292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D292D" w:rsidRDefault="00CD292D">
            <w:pPr>
              <w:rPr>
                <w:rFonts w:eastAsiaTheme="minorEastAsia"/>
                <w:sz w:val="24"/>
                <w:szCs w:val="24"/>
              </w:rPr>
            </w:pP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3 do 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5 do 8</w:t>
            </w:r>
            <w:r>
              <w:rPr>
                <w:color w:val="000000"/>
                <w:vertAlign w:val="superscript"/>
              </w:rPr>
              <w:t>a)</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Od 9 do 19</w:t>
            </w:r>
            <w:r>
              <w:rPr>
                <w:color w:val="000000"/>
                <w:vertAlign w:val="superscript"/>
              </w:rPr>
              <w:t>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≥20</w:t>
            </w:r>
          </w:p>
        </w:tc>
      </w:tr>
      <w:tr w:rsidR="00CD292D" w:rsidTr="00CD292D">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Mieszanki gruboziarniste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±0,55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±0,30</w:t>
            </w:r>
          </w:p>
        </w:tc>
      </w:tr>
      <w:tr w:rsidR="00CD292D" w:rsidTr="00CD292D">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pPr>
            <w:r>
              <w:rPr>
                <w:color w:val="000000"/>
              </w:rPr>
              <w:t>Mieszanki drobnoziarniste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±0,45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±0,40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120"/>
              <w:jc w:val="center"/>
            </w:pPr>
            <w:r>
              <w:rPr>
                <w:color w:val="000000"/>
              </w:rPr>
              <w:t>±0,30</w:t>
            </w:r>
          </w:p>
        </w:tc>
      </w:tr>
      <w:tr w:rsidR="00CD292D" w:rsidTr="00CD292D">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left="426" w:right="-57" w:hanging="360"/>
            </w:pPr>
            <w:r>
              <w:rPr>
                <w:color w:val="000000"/>
              </w:rPr>
              <w:t>a)</w:t>
            </w:r>
            <w:r>
              <w:rPr>
                <w:color w:val="000000"/>
                <w:sz w:val="14"/>
                <w:szCs w:val="14"/>
              </w:rPr>
              <w:t xml:space="preserve">      </w:t>
            </w:r>
            <w:r>
              <w:rPr>
                <w:color w:val="00000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CD292D" w:rsidRDefault="00CD292D" w:rsidP="00CD292D">
      <w:pPr>
        <w:rPr>
          <w:rFonts w:eastAsiaTheme="minorEastAsia"/>
        </w:rPr>
      </w:pPr>
      <w:r>
        <w:t> </w:t>
      </w:r>
    </w:p>
    <w:p w:rsidR="00CD292D" w:rsidRDefault="00CD292D" w:rsidP="00CD292D">
      <w:pPr>
        <w:spacing w:after="120"/>
      </w:pPr>
      <w:r>
        <w:rPr>
          <w:color w:val="000000"/>
        </w:rPr>
        <w:t>6.5.2.3. Temperatura  mięknienia lepiszcza odzyskanego</w:t>
      </w:r>
    </w:p>
    <w:p w:rsidR="00CD292D" w:rsidRDefault="00CD292D" w:rsidP="00CD292D">
      <w:pPr>
        <w:ind w:firstLine="709"/>
      </w:pPr>
      <w: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CD292D" w:rsidRDefault="00CD292D" w:rsidP="00CD292D">
      <w:pPr>
        <w:ind w:firstLine="709"/>
      </w:pPr>
      <w:r>
        <w:t>Jeżeli w składzie mieszanki mineralno-asfaltowej jest grantulat asfaltowy, to temperatura mięknienia wyekstrahowanego lepiszcza nie może przekroczyć temperatur mięknienia T</w:t>
      </w:r>
      <w:r>
        <w:rPr>
          <w:vertAlign w:val="subscript"/>
        </w:rPr>
        <w:t>R&amp;Bmix</w:t>
      </w:r>
      <w:r>
        <w:t>, podanej w badaniu typu o więcej niż 8°C.</w:t>
      </w:r>
    </w:p>
    <w:p w:rsidR="00CD292D" w:rsidRDefault="00CD292D" w:rsidP="00CD292D">
      <w:pPr>
        <w:spacing w:before="120" w:after="120"/>
        <w:ind w:firstLine="709"/>
      </w:pPr>
      <w:r>
        <w:rPr>
          <w:color w:val="000000"/>
        </w:rPr>
        <w:lastRenderedPageBreak/>
        <w:t>Temperatura mięknienia lepiszcza (asfaltu lub polimeroasfaltu) wyekstrahowanego z mieszanki mineralno-asfaltowej nie powinna przekroczyć wartości dopuszczalnych podanych w tablicy 31.</w:t>
      </w:r>
    </w:p>
    <w:p w:rsidR="00CD292D" w:rsidRDefault="00CD292D" w:rsidP="00CD292D">
      <w:pPr>
        <w:spacing w:before="120" w:after="120"/>
        <w:ind w:left="1134" w:hanging="1134"/>
      </w:pPr>
      <w:r>
        <w:rPr>
          <w:color w:val="000000"/>
        </w:rPr>
        <w:t>Tablica 31.  Najwyższa temperatura mięknienia wyekstrahowanego polimeroasfaltu drogowego</w:t>
      </w:r>
    </w:p>
    <w:tbl>
      <w:tblPr>
        <w:tblW w:w="0" w:type="auto"/>
        <w:tblCellMar>
          <w:left w:w="0" w:type="dxa"/>
          <w:right w:w="0" w:type="dxa"/>
        </w:tblCellMar>
        <w:tblLook w:val="04A0" w:firstRow="1" w:lastRow="0" w:firstColumn="1" w:lastColumn="0" w:noHBand="0" w:noVBand="1"/>
      </w:tblPr>
      <w:tblGrid>
        <w:gridCol w:w="3755"/>
        <w:gridCol w:w="3756"/>
      </w:tblGrid>
      <w:tr w:rsidR="00CD292D" w:rsidTr="00CD292D">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ind w:right="-57"/>
              <w:jc w:val="center"/>
            </w:pPr>
            <w:r>
              <w:rPr>
                <w:color w:val="000000"/>
              </w:rPr>
              <w:t>Najwyższa temperatura mięknienia °C</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PMB-25/55-60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78</w:t>
            </w:r>
          </w:p>
        </w:tc>
      </w:tr>
      <w:tr w:rsidR="00CD292D" w:rsidTr="00CD292D">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PMB 25/55-80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ind w:right="-57"/>
              <w:jc w:val="center"/>
            </w:pPr>
            <w:r>
              <w:rPr>
                <w:color w:val="000000"/>
              </w:rPr>
              <w:t>Nie dotyczy</w:t>
            </w:r>
          </w:p>
        </w:tc>
      </w:tr>
    </w:tbl>
    <w:p w:rsidR="00CD292D" w:rsidRDefault="00CD292D" w:rsidP="00CD292D">
      <w:pPr>
        <w:spacing w:before="120"/>
        <w:ind w:firstLine="709"/>
        <w:rPr>
          <w:rFonts w:eastAsiaTheme="minorEastAsia"/>
        </w:rPr>
      </w:pPr>
      <w: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CD292D" w:rsidRDefault="00CD292D" w:rsidP="00CD292D">
      <w:r>
        <w:t>Najwyższa dopuszczalna temperatura mięknienia wyekstrahowanego polimeroasfaltu =</w:t>
      </w:r>
    </w:p>
    <w:p w:rsidR="00CD292D" w:rsidRDefault="00CD292D" w:rsidP="00CD292D">
      <w:r>
        <w:t>temperatura mięknienia zbadanej dostawy na wytwornię + dopuszczalny wg Załącznika</w:t>
      </w:r>
    </w:p>
    <w:p w:rsidR="00CD292D" w:rsidRDefault="00CD292D" w:rsidP="00CD292D">
      <w:pPr>
        <w:ind w:right="-57"/>
      </w:pPr>
      <w:r>
        <w:t>krajowego NA do PN-EN 14023[66] wzrost temperatury mięknienia po starzeniu RTFOT.</w:t>
      </w:r>
    </w:p>
    <w:p w:rsidR="00CD292D" w:rsidRDefault="00CD292D" w:rsidP="00CD292D">
      <w:pPr>
        <w:ind w:firstLine="709"/>
      </w:pPr>
      <w:r>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13398[58]).</w:t>
      </w:r>
    </w:p>
    <w:p w:rsidR="00CD292D" w:rsidRDefault="00CD292D" w:rsidP="00CD292D">
      <w:pPr>
        <w:spacing w:before="120" w:after="120"/>
        <w:ind w:right="-57"/>
      </w:pPr>
      <w:r>
        <w:rPr>
          <w:color w:val="000000"/>
        </w:rPr>
        <w:t>6.5.2.4. Gęstość i zawartość wolnych przestrzeni</w:t>
      </w:r>
    </w:p>
    <w:p w:rsidR="00CD292D" w:rsidRDefault="00CD292D" w:rsidP="00CD292D">
      <w:pPr>
        <w:ind w:right="-57" w:firstLine="709"/>
      </w:pPr>
      <w:r>
        <w:rPr>
          <w:color w:val="000000"/>
        </w:rPr>
        <w:t>Zawartość wolnych przestrzeni w próbce Marshalla pobranej z mieszanki mineralno-asfaltowej lub wyjątkowo powtórnie rozgrzanej próbki pobranej z nawierzchni nie może wykroczyć poza wartości podane w pkcie 2.10 o więcej niż 1,5% (v/v).</w:t>
      </w:r>
    </w:p>
    <w:p w:rsidR="00CD292D" w:rsidRDefault="00CD292D" w:rsidP="00CD292D">
      <w:pPr>
        <w:spacing w:before="120" w:after="120"/>
      </w:pPr>
      <w:r>
        <w:rPr>
          <w:b/>
          <w:bCs/>
        </w:rPr>
        <w:t xml:space="preserve">6.5.3. </w:t>
      </w:r>
      <w:r>
        <w:t xml:space="preserve">Warunki technologiczne wbudowywania mieszanki mineralno-asfaltowej </w:t>
      </w:r>
    </w:p>
    <w:p w:rsidR="00CD292D" w:rsidRDefault="00CD292D" w:rsidP="00CD292D">
      <w:pPr>
        <w:ind w:firstLine="709"/>
      </w:pPr>
      <w:r>
        <w:t>Temperatura powietrza powinna być mierzona przed i w czasie robót; nie powinna być mniejsza niż podano w tablicy 26.  </w:t>
      </w:r>
    </w:p>
    <w:p w:rsidR="00CD292D" w:rsidRDefault="00CD292D" w:rsidP="00CD292D">
      <w:pPr>
        <w:ind w:firstLine="709"/>
      </w:pPr>
      <w: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CD292D" w:rsidRDefault="00CD292D" w:rsidP="00CD292D">
      <w:pPr>
        <w:ind w:firstLine="709"/>
      </w:pPr>
      <w:r>
        <w:t xml:space="preserve">Pomiar temperatury mieszanki  mineralno-asfaltowej należy wykonać zgodnie z wymaganiami normy PN-EN 12697-13 [40]. </w:t>
      </w:r>
    </w:p>
    <w:p w:rsidR="00CD292D" w:rsidRDefault="00CD292D" w:rsidP="00CD292D">
      <w:pPr>
        <w:ind w:firstLine="709"/>
      </w:pPr>
      <w: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CD292D" w:rsidRDefault="00CD292D" w:rsidP="00CD292D">
      <w:pPr>
        <w:spacing w:before="120" w:after="120"/>
      </w:pPr>
      <w:r>
        <w:rPr>
          <w:b/>
          <w:bCs/>
        </w:rPr>
        <w:lastRenderedPageBreak/>
        <w:t>6.5.4.</w:t>
      </w:r>
      <w:r>
        <w:t xml:space="preserve"> Wykonana warstwa</w:t>
      </w:r>
    </w:p>
    <w:p w:rsidR="00CD292D" w:rsidRDefault="00CD292D" w:rsidP="00CD292D">
      <w:pPr>
        <w:spacing w:after="120"/>
        <w:ind w:right="-57"/>
      </w:pPr>
      <w:r>
        <w:rPr>
          <w:color w:val="000000"/>
        </w:rPr>
        <w:t>6.5.4.1. Wskaźnik zagęszczenia i zawartość wolnych przestrzeni</w:t>
      </w:r>
    </w:p>
    <w:p w:rsidR="00CD292D" w:rsidRDefault="00CD292D" w:rsidP="00CD292D">
      <w:pPr>
        <w:ind w:firstLine="709"/>
      </w:pPr>
      <w:r>
        <w:rPr>
          <w:color w:val="000000"/>
        </w:rPr>
        <w:t xml:space="preserve">Zagęszczenie wykonanej warstwy wyrażone wskaźnikiem zagęszczenia oraz zawartością wolnych przestrzeni nie może przekroczyć wartości dopuszczalnych  podanych w tablicy 32. </w:t>
      </w:r>
      <w:r>
        <w:t>Dotyczy to każdego pojedynczego oznaczenia danej właściwości.</w:t>
      </w:r>
    </w:p>
    <w:p w:rsidR="00CD292D" w:rsidRDefault="00CD292D" w:rsidP="00CD292D">
      <w:r>
        <w:t>            Określenie gęstości objętościowej należy wykonywać według PN-EN 12697-6  [36].</w:t>
      </w:r>
    </w:p>
    <w:p w:rsidR="00CD292D" w:rsidRDefault="00CD292D" w:rsidP="00CD292D">
      <w:pPr>
        <w:spacing w:before="120" w:after="120"/>
      </w:pPr>
      <w:r>
        <w:t xml:space="preserve">Tablica 32. Właściwości warstwy AC </w:t>
      </w:r>
    </w:p>
    <w:tbl>
      <w:tblPr>
        <w:tblW w:w="0" w:type="auto"/>
        <w:tblCellMar>
          <w:left w:w="0" w:type="dxa"/>
          <w:right w:w="0" w:type="dxa"/>
        </w:tblCellMar>
        <w:tblLook w:val="04A0" w:firstRow="1" w:lastRow="0" w:firstColumn="1" w:lastColumn="0" w:noHBand="0" w:noVBand="1"/>
      </w:tblPr>
      <w:tblGrid>
        <w:gridCol w:w="1788"/>
        <w:gridCol w:w="2280"/>
        <w:gridCol w:w="1572"/>
        <w:gridCol w:w="3257"/>
      </w:tblGrid>
      <w:tr w:rsidR="00CD292D" w:rsidTr="00CD292D">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Warstwa</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Typ i wymiar mieszanki</w:t>
            </w:r>
          </w:p>
        </w:tc>
        <w:tc>
          <w:tcPr>
            <w:tcW w:w="15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120"/>
              <w:jc w:val="center"/>
            </w:pPr>
            <w:r>
              <w:t>Wskaźnik zagęszczenia</w:t>
            </w:r>
          </w:p>
          <w:p w:rsidR="00CD292D" w:rsidRDefault="00CD292D">
            <w:pPr>
              <w:jc w:val="center"/>
            </w:pPr>
            <w:r>
              <w:t>[%]</w:t>
            </w:r>
          </w:p>
        </w:tc>
        <w:tc>
          <w:tcPr>
            <w:tcW w:w="3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Zawartość wolnych przestrzeni w warstwie</w:t>
            </w:r>
          </w:p>
          <w:p w:rsidR="00CD292D" w:rsidRDefault="00CD292D">
            <w:pPr>
              <w:jc w:val="center"/>
            </w:pPr>
            <w:r>
              <w:t>[%(v/v)]</w:t>
            </w:r>
          </w:p>
        </w:tc>
      </w:tr>
      <w:tr w:rsidR="00CD292D" w:rsidTr="00CD292D">
        <w:tc>
          <w:tcPr>
            <w:tcW w:w="17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Wiążąca</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AC 11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2,0÷7,0</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AC 16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2,0÷7,0</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AC 16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3,0÷8,0</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AC 22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3,0÷8,0</w:t>
            </w:r>
          </w:p>
        </w:tc>
      </w:tr>
    </w:tbl>
    <w:p w:rsidR="00CD292D" w:rsidRDefault="00CD292D" w:rsidP="00CD292D">
      <w:pPr>
        <w:spacing w:after="120"/>
        <w:ind w:right="-57" w:firstLine="709"/>
        <w:rPr>
          <w:rFonts w:eastAsiaTheme="minorEastAsia"/>
        </w:rPr>
      </w:pPr>
      <w:r>
        <w:rPr>
          <w:color w:val="000000"/>
        </w:rPr>
        <w:t> </w:t>
      </w:r>
    </w:p>
    <w:p w:rsidR="00CD292D" w:rsidRDefault="00CD292D" w:rsidP="00CD292D">
      <w:pPr>
        <w:spacing w:after="120"/>
        <w:ind w:right="-57" w:firstLine="709"/>
      </w:pPr>
      <w:r>
        <w:rPr>
          <w:color w:val="000000"/>
        </w:rPr>
        <w:t>Wskaźnik zagęszczenia i zawartość wolnych przestrzeni  należy badać dla każdej warstwy i na każde rozpoczęte 6000 m</w:t>
      </w:r>
      <w:r>
        <w:rPr>
          <w:color w:val="000000"/>
          <w:vertAlign w:val="superscript"/>
        </w:rPr>
        <w:t>2</w:t>
      </w:r>
      <w:r>
        <w:rPr>
          <w:color w:val="000000"/>
        </w:rPr>
        <w:t xml:space="preserve"> nawierzchni jedna próbka; w razie potrzeby liczba próbek może zostać zwiększona (np. nawierzchnie dróg w terenie zabudowy, nawierzchnie mostowe).</w:t>
      </w:r>
    </w:p>
    <w:p w:rsidR="00CD292D" w:rsidRDefault="00CD292D" w:rsidP="00CD292D">
      <w:pPr>
        <w:spacing w:after="120"/>
        <w:ind w:right="-57"/>
      </w:pPr>
      <w:r>
        <w:rPr>
          <w:color w:val="000000"/>
        </w:rPr>
        <w:t> 6.5.4.2. Grubość warstwy  </w:t>
      </w:r>
    </w:p>
    <w:p w:rsidR="00CD292D" w:rsidRDefault="00CD292D" w:rsidP="00CD292D">
      <w:pPr>
        <w:ind w:firstLine="709"/>
      </w:pPr>
      <w: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rsidR="00CD292D" w:rsidRDefault="00CD292D" w:rsidP="00CD292D">
      <w:pPr>
        <w:spacing w:before="120" w:after="120"/>
        <w:ind w:left="992" w:hanging="992"/>
      </w:pPr>
      <w:r>
        <w:t xml:space="preserve">Tablica 33.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D292D" w:rsidTr="00CD292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240" w:after="60"/>
              <w:jc w:val="center"/>
            </w:pPr>
            <w: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Pakiet: warstwa ścieralna+wiążąca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spacing w:before="60" w:after="60"/>
              <w:jc w:val="center"/>
            </w:pPr>
            <w:r>
              <w:t>Warstwa wiążąca</w:t>
            </w:r>
          </w:p>
        </w:tc>
      </w:tr>
      <w:tr w:rsidR="00CD292D" w:rsidTr="00CD292D">
        <w:trPr>
          <w:trHeight w:val="985"/>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rsidR="00CD292D" w:rsidRDefault="00CD292D">
            <w:pPr>
              <w:ind w:left="426" w:hanging="426"/>
            </w:pPr>
            <w: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jc w:val="center"/>
            </w:pPr>
            <w: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rsidR="00CD292D" w:rsidRDefault="00CD292D">
            <w:pPr>
              <w:jc w:val="center"/>
            </w:pPr>
            <w:r>
              <w:t>Nie dopuszcza się zaniżenia grubości</w:t>
            </w:r>
          </w:p>
        </w:tc>
      </w:tr>
      <w:tr w:rsidR="00CD292D" w:rsidTr="00CD292D">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pPr>
            <w: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D292D" w:rsidRDefault="00CD292D">
            <w:pPr>
              <w:spacing w:before="60" w:after="60"/>
              <w:jc w:val="center"/>
            </w:pPr>
            <w:r>
              <w:t>0÷10%</w:t>
            </w:r>
          </w:p>
        </w:tc>
      </w:tr>
    </w:tbl>
    <w:p w:rsidR="00CD292D" w:rsidRDefault="00CD292D" w:rsidP="00CD292D">
      <w:pPr>
        <w:rPr>
          <w:rFonts w:eastAsiaTheme="minorEastAsia"/>
        </w:rPr>
      </w:pPr>
      <w:r>
        <w:rPr>
          <w:shd w:val="clear" w:color="auto" w:fill="FFFF00"/>
        </w:rPr>
        <w:t> </w:t>
      </w:r>
    </w:p>
    <w:p w:rsidR="00CD292D" w:rsidRDefault="00CD292D" w:rsidP="00CD292D">
      <w:pPr>
        <w:ind w:firstLine="709"/>
      </w:pPr>
      <w:r>
        <w:t>Należy sprawdzić zachowanie zasady mówiącej, że grubość warstwy musi być co najmniej dwuipółkrotnie większa od wymiaru D kruszywa danej mieszanki (h ≥ 2,5×D).</w:t>
      </w:r>
    </w:p>
    <w:p w:rsidR="00CD292D" w:rsidRDefault="00CD292D" w:rsidP="00CD292D">
      <w:pPr>
        <w:ind w:firstLine="709"/>
      </w:pPr>
      <w:r>
        <w:lastRenderedPageBreak/>
        <w:t xml:space="preserve">Zwiększone grubości poszczególnych warstw będą zaliczane jako wyrównanie ewentualnych niedoborów niżej leżącej warstwy. </w:t>
      </w:r>
    </w:p>
    <w:p w:rsidR="00CD292D" w:rsidRDefault="00CD292D" w:rsidP="00CD292D">
      <w:pPr>
        <w:keepNext/>
        <w:spacing w:before="120" w:after="120"/>
      </w:pPr>
      <w:r>
        <w:t>6.5.4.3. Spadki poprzeczne</w:t>
      </w:r>
    </w:p>
    <w:p w:rsidR="00CD292D" w:rsidRDefault="00CD292D" w:rsidP="00CD292D">
      <w:r>
        <w:t>            Spadki poprzeczne nawierzchni należy badać nie rzadziej niż co 20 m oraz w punktach głównych łuków poziomych.</w:t>
      </w:r>
    </w:p>
    <w:p w:rsidR="00CD292D" w:rsidRDefault="00CD292D" w:rsidP="00CD292D">
      <w:pPr>
        <w:ind w:firstLine="709"/>
      </w:pPr>
      <w:r>
        <w:t>Spadki poprzeczne powinny być zgodne z dokumentacją projektową, z tolerancją  </w:t>
      </w:r>
      <w:r>
        <w:rPr>
          <w:rFonts w:ascii="Symbol" w:hAnsi="Symbol"/>
          <w:color w:val="000000"/>
        </w:rPr>
        <w:t></w:t>
      </w:r>
      <w:r>
        <w:rPr>
          <w:color w:val="000000"/>
        </w:rPr>
        <w:t xml:space="preserve"> 0,5%. </w:t>
      </w:r>
    </w:p>
    <w:p w:rsidR="00CD292D" w:rsidRDefault="00CD292D" w:rsidP="00CD292D">
      <w:pPr>
        <w:keepNext/>
        <w:spacing w:before="120" w:after="120"/>
      </w:pPr>
      <w:r>
        <w:t>6.5.4.4. Równość podłużna i poprzeczna</w:t>
      </w:r>
    </w:p>
    <w:p w:rsidR="00CD292D" w:rsidRDefault="00CD292D" w:rsidP="00CD292D">
      <w:r>
        <w:t xml:space="preserve">a) Równość podłużna  </w:t>
      </w:r>
    </w:p>
    <w:p w:rsidR="00CD292D" w:rsidRDefault="00CD292D" w:rsidP="00CD292D">
      <w:pPr>
        <w:ind w:firstLine="709"/>
      </w:pPr>
      <w:r>
        <w:t>Do oceny równości podłużnej  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CD292D" w:rsidRDefault="00CD292D" w:rsidP="00CD292D">
      <w:pPr>
        <w:ind w:firstLine="709"/>
      </w:pPr>
      <w:r>
        <w:t>W miejscach niedostępnych dla planografu pomiar równości podłużnej warstw nawierzchni należy wykonać w sposób ciągły z użyciem łaty i klina. Długość łaty w pomiarze równości podłużnej powinna wynosić 4 m.</w:t>
      </w:r>
    </w:p>
    <w:p w:rsidR="00CD292D" w:rsidRDefault="00CD292D" w:rsidP="00CD292D">
      <w:pPr>
        <w:ind w:firstLine="709"/>
      </w:pPr>
      <w:r>
        <w:t>Maksymalne wartości odchyleń równości podłużnej dla warstwy oznaczone pomiarem ciągłym równoważnym użyciu łaty i klina np. z wykorzystaniem planografu, łaty i klina określa tablica 34.</w:t>
      </w:r>
    </w:p>
    <w:p w:rsidR="00CD292D" w:rsidRDefault="00CD292D" w:rsidP="00CD292D">
      <w:pPr>
        <w:spacing w:before="120" w:after="120"/>
        <w:ind w:left="1134" w:hanging="1134"/>
      </w:pPr>
      <w:r>
        <w:t>Tablica 34.  Maksymalne wartości odchyleń równości podłużnej dla warstwy wiążącej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3261"/>
        <w:gridCol w:w="2693"/>
      </w:tblGrid>
      <w:tr w:rsidR="00CD292D" w:rsidTr="00CD292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Maksymalne wartości odchyleń równości podłużnej warstwy [mm] dla warstwy wiążącej</w:t>
            </w:r>
          </w:p>
        </w:tc>
      </w:tr>
      <w:tr w:rsidR="00CD292D" w:rsidTr="00CD292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A,S,GP</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 xml:space="preserve">jezdnie łącznic, </w:t>
            </w:r>
          </w:p>
          <w:p w:rsidR="00CD292D" w:rsidRDefault="00CD292D">
            <w: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G,Z</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 xml:space="preserve">jezdnie łącznic, </w:t>
            </w:r>
          </w:p>
          <w:p w:rsidR="00CD292D" w:rsidRDefault="00CD292D">
            <w: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lastRenderedPageBreak/>
              <w:t xml:space="preserve">L,D, place parkingi, </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Wszystkie pasy ruchu i powierzchnie przeznaczone do ruchu i postoju pojazdów</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r>
    </w:tbl>
    <w:p w:rsidR="00CD292D" w:rsidRDefault="00CD292D" w:rsidP="00CD292D">
      <w:pPr>
        <w:rPr>
          <w:rFonts w:eastAsiaTheme="minorEastAsia"/>
        </w:rPr>
      </w:pPr>
      <w:r>
        <w:t> </w:t>
      </w:r>
    </w:p>
    <w:p w:rsidR="00CD292D" w:rsidRDefault="00CD292D" w:rsidP="00CD292D">
      <w:r>
        <w:t>b) Równość poprzeczna</w:t>
      </w:r>
    </w:p>
    <w:p w:rsidR="00CD292D" w:rsidRDefault="00CD292D" w:rsidP="00CD292D">
      <w:pPr>
        <w:ind w:firstLine="709"/>
      </w:pPr>
      <w: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CD292D" w:rsidRDefault="00CD292D" w:rsidP="00CD292D">
      <w:pPr>
        <w:ind w:firstLine="709"/>
      </w:pPr>
      <w: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CD292D" w:rsidRDefault="00CD292D" w:rsidP="00CD292D">
      <w:pPr>
        <w:ind w:firstLine="709"/>
      </w:pPr>
      <w:r>
        <w:t>Maksymalne wartości odchyleń równości poprzecznej określa tablica 35.</w:t>
      </w:r>
    </w:p>
    <w:p w:rsidR="00CD292D" w:rsidRDefault="00CD292D" w:rsidP="00CD292D">
      <w:pPr>
        <w:spacing w:before="120" w:after="120"/>
        <w:ind w:left="1134" w:hanging="1134"/>
      </w:pPr>
      <w:r>
        <w:t>Tablica 35.  Maksymalne wartości odchyleń równości poprzecznej dla warstwy ścieralnej i wiążącej</w:t>
      </w:r>
    </w:p>
    <w:tbl>
      <w:tblPr>
        <w:tblW w:w="0" w:type="auto"/>
        <w:tblCellMar>
          <w:left w:w="0" w:type="dxa"/>
          <w:right w:w="0" w:type="dxa"/>
        </w:tblCellMar>
        <w:tblLook w:val="04A0" w:firstRow="1" w:lastRow="0" w:firstColumn="1" w:lastColumn="0" w:noHBand="0" w:noVBand="1"/>
      </w:tblPr>
      <w:tblGrid>
        <w:gridCol w:w="1809"/>
        <w:gridCol w:w="3119"/>
        <w:gridCol w:w="2977"/>
      </w:tblGrid>
      <w:tr w:rsidR="00CD292D" w:rsidTr="00CD292D">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Klasa drogi</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Element nawierzchni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D292D" w:rsidRDefault="00CD292D">
            <w:pPr>
              <w:jc w:val="center"/>
            </w:pPr>
            <w:r>
              <w:t>Maksymalne wartości odchyleń równości poprzecznej warstwy [mm] dla warstwy wiążącej</w:t>
            </w:r>
          </w:p>
        </w:tc>
      </w:tr>
      <w:tr w:rsidR="00CD292D" w:rsidTr="00CD292D">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A,S,GP</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awaryjne,</w:t>
            </w:r>
          </w:p>
          <w:p w:rsidR="00CD292D" w:rsidRDefault="00CD292D">
            <w:r>
              <w:t>dodatkowe, włączenia i wyłączenia,</w:t>
            </w:r>
          </w:p>
          <w:p w:rsidR="00CD292D" w:rsidRDefault="00CD292D">
            <w:r>
              <w:t xml:space="preserve">jezdnie łącznic, </w:t>
            </w:r>
          </w:p>
          <w:p w:rsidR="00CD292D" w:rsidRDefault="00CD292D">
            <w: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6</w:t>
            </w:r>
          </w:p>
        </w:tc>
      </w:tr>
      <w:tr w:rsidR="00CD292D" w:rsidTr="00CD292D">
        <w:tc>
          <w:tcPr>
            <w:tcW w:w="0" w:type="auto"/>
            <w:vMerge/>
            <w:tcBorders>
              <w:top w:val="nil"/>
              <w:left w:val="single" w:sz="8" w:space="0" w:color="auto"/>
              <w:bottom w:val="single" w:sz="8" w:space="0" w:color="auto"/>
              <w:right w:val="single" w:sz="8" w:space="0" w:color="auto"/>
            </w:tcBorders>
            <w:vAlign w:val="center"/>
            <w:hideMark/>
          </w:tcPr>
          <w:p w:rsidR="00CD292D" w:rsidRDefault="00CD292D">
            <w:pPr>
              <w:rPr>
                <w:rFonts w:eastAsiaTheme="minorEastAsia"/>
                <w:sz w:val="24"/>
                <w:szCs w:val="24"/>
              </w:rPr>
            </w:pP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Jezdnie MOP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G,Z</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Pasy ruchu zasadnicze, dodatkowe,</w:t>
            </w:r>
          </w:p>
          <w:p w:rsidR="00CD292D" w:rsidRDefault="00CD292D">
            <w:r>
              <w:t>włączenia i wyłączenia, postojowe,</w:t>
            </w:r>
          </w:p>
          <w:p w:rsidR="00CD292D" w:rsidRDefault="00CD292D">
            <w:r>
              <w:t xml:space="preserve">jezdnie łącznic, </w:t>
            </w:r>
          </w:p>
          <w:p w:rsidR="00CD292D" w:rsidRDefault="00CD292D">
            <w: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9</w:t>
            </w:r>
          </w:p>
        </w:tc>
      </w:tr>
      <w:tr w:rsidR="00CD292D" w:rsidTr="00CD292D">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D292D" w:rsidRDefault="00CD292D">
            <w:r>
              <w:t xml:space="preserve">L,D, place parkingi,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r>
              <w:t>Wszystkie pasy ruchu i powierzchnie przeznaczone do ruchu i postoju pojazdów</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rsidR="00CD292D" w:rsidRDefault="00CD292D">
            <w:pPr>
              <w:jc w:val="center"/>
            </w:pPr>
            <w:r>
              <w:t>12</w:t>
            </w:r>
          </w:p>
        </w:tc>
      </w:tr>
    </w:tbl>
    <w:p w:rsidR="00CD292D" w:rsidRDefault="00CD292D" w:rsidP="00CD292D">
      <w:pPr>
        <w:rPr>
          <w:rFonts w:eastAsiaTheme="minorEastAsia"/>
        </w:rPr>
      </w:pPr>
      <w:r>
        <w:t> </w:t>
      </w:r>
    </w:p>
    <w:p w:rsidR="00CD292D" w:rsidRDefault="00CD292D" w:rsidP="00CD292D">
      <w:r>
        <w:lastRenderedPageBreak/>
        <w:t xml:space="preserve">6.5.4.5. Złącza technologiczne </w:t>
      </w:r>
    </w:p>
    <w:p w:rsidR="00CD292D" w:rsidRDefault="00CD292D" w:rsidP="00CD292D">
      <w:pPr>
        <w:ind w:firstLine="709"/>
      </w:pPr>
      <w:r>
        <w:t>Złącza podłużne i poprzeczne, sprawdzone wizualnie, powinny być równe i związane, wykonane w linii prostej, równolegle lub prostopadle do osi drogi. Przylegające warstwy powinny być w jednym poziomie.</w:t>
      </w:r>
    </w:p>
    <w:p w:rsidR="00CD292D" w:rsidRDefault="00CD292D" w:rsidP="00CD292D">
      <w:pPr>
        <w:keepNext/>
        <w:spacing w:before="120" w:after="120"/>
      </w:pPr>
      <w:r>
        <w:t xml:space="preserve">6.5.4.6. Szerokość warstwy </w:t>
      </w:r>
    </w:p>
    <w:p w:rsidR="00CD292D" w:rsidRDefault="00CD292D" w:rsidP="00CD292D">
      <w:pPr>
        <w:ind w:firstLine="709"/>
      </w:pPr>
      <w:r>
        <w:t>Szerokość warstwy, mierzona 10 razy na 1 km każdej jezdni powinna być zgodna z dokumentacją projektową, z tolerancją  w zakresie od 0</w:t>
      </w:r>
      <w:r>
        <w:rPr>
          <w:color w:val="000000"/>
        </w:rPr>
        <w:t xml:space="preserve"> do </w:t>
      </w:r>
      <w:r>
        <w:t>+5 cm, przy czym szerokość warstwy wiążącej powinna być odpowiednio szersza, tak aby stanowiła odsadzkę dla warstwy ścieralnej. W przypadku wyprofilowanej ukośnej krawędzi szerokość należy mierzyć w środku linii skosu.</w:t>
      </w:r>
    </w:p>
    <w:p w:rsidR="00CD292D" w:rsidRDefault="00CD292D" w:rsidP="00CD292D">
      <w:pPr>
        <w:spacing w:before="120" w:after="120"/>
      </w:pPr>
      <w:r>
        <w:t xml:space="preserve">6.5.4.7. Rzędne wysokościowe </w:t>
      </w:r>
    </w:p>
    <w:p w:rsidR="00CD292D" w:rsidRDefault="00CD292D" w:rsidP="00CD292D">
      <w:pPr>
        <w:ind w:firstLine="709"/>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CD292D" w:rsidRDefault="00CD292D" w:rsidP="00CD292D">
      <w:pPr>
        <w:keepNext/>
        <w:spacing w:before="120" w:after="120"/>
      </w:pPr>
      <w:r>
        <w:t xml:space="preserve">6.5.4.8. Ukształtowanie osi w planie </w:t>
      </w:r>
    </w:p>
    <w:p w:rsidR="00CD292D" w:rsidRDefault="00CD292D" w:rsidP="00CD292D">
      <w:pPr>
        <w:ind w:firstLine="709"/>
      </w:pPr>
      <w:r>
        <w:t>Ukształtowanie osi w planie, mierzone co 100 m, nie powinno różnić się od dokumentacji projektowej o więcej niż ± 5 cm.</w:t>
      </w:r>
    </w:p>
    <w:p w:rsidR="00CD292D" w:rsidRDefault="00CD292D" w:rsidP="00CD292D">
      <w:pPr>
        <w:keepNext/>
        <w:spacing w:before="120" w:after="120"/>
      </w:pPr>
      <w:r>
        <w:t xml:space="preserve">6.5.4.9. Ocena wizualna warstwy </w:t>
      </w:r>
    </w:p>
    <w:p w:rsidR="00CD292D" w:rsidRDefault="00CD292D" w:rsidP="00CD292D">
      <w:pPr>
        <w:ind w:firstLine="709"/>
      </w:pPr>
      <w:r>
        <w:t>Wygląd zewnętrzny warstwy, sprawdzony wizualnie, powinien być jednorodny, bez spękań, deformacji, plam i wykruszeń.</w:t>
      </w:r>
    </w:p>
    <w:p w:rsidR="00CD292D" w:rsidRDefault="00CD292D" w:rsidP="00CD292D">
      <w:pPr>
        <w:pStyle w:val="Nagwek2"/>
        <w:rPr>
          <w:rFonts w:eastAsia="Times New Roman"/>
        </w:rPr>
      </w:pPr>
      <w:r>
        <w:rPr>
          <w:rFonts w:eastAsia="Times New Roman"/>
        </w:rPr>
        <w:t>6.6. Badania kontrolne dodatkowe</w:t>
      </w:r>
    </w:p>
    <w:p w:rsidR="00CD292D" w:rsidRDefault="00CD292D" w:rsidP="00CD292D">
      <w:pPr>
        <w:rPr>
          <w:rFonts w:eastAsiaTheme="minorEastAsia"/>
        </w:rPr>
      </w:pPr>
      <w:r>
        <w:t>            W wypadku uznania, że jeden z wyników badań kontrolnych nie jest reprezentatywny dla ocenianego odcinka budowy, Wykonawca ma prawo żądać przeprowadzenia badań kontrolnych dodatkowych.</w:t>
      </w:r>
    </w:p>
    <w:p w:rsidR="00CD292D" w:rsidRDefault="00CD292D" w:rsidP="00CD292D">
      <w: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CD292D" w:rsidRDefault="00CD292D" w:rsidP="00CD292D">
      <w:r>
        <w:t>            Do odbioru uwzględniane są wyniki badań kontrolnych i badań kontrolnych dodatkowych do wyznaczonych odcinków częściowych.</w:t>
      </w:r>
    </w:p>
    <w:p w:rsidR="00CD292D" w:rsidRDefault="00CD292D" w:rsidP="00CD292D">
      <w:r>
        <w:t>            Koszty badań kontrolnych dodatkowych zażądanych przez Wykonawcę ponosi Wykonawca.</w:t>
      </w:r>
    </w:p>
    <w:p w:rsidR="00CD292D" w:rsidRDefault="00CD292D" w:rsidP="00CD292D">
      <w:pPr>
        <w:pStyle w:val="Nagwek2"/>
        <w:rPr>
          <w:rFonts w:eastAsia="Times New Roman"/>
        </w:rPr>
      </w:pPr>
      <w:r>
        <w:rPr>
          <w:rFonts w:eastAsia="Times New Roman"/>
        </w:rPr>
        <w:t>6.7. Badania arbitrażowe</w:t>
      </w:r>
    </w:p>
    <w:p w:rsidR="00CD292D" w:rsidRDefault="00CD292D" w:rsidP="00CD292D">
      <w:pPr>
        <w:rPr>
          <w:rFonts w:eastAsiaTheme="minorEastAsia"/>
        </w:rPr>
      </w:pPr>
      <w:r>
        <w:t>            Badania arbitrażowe są powtórzeniem badań kontrolnych, co do których istnieją uzasadnione wątpliwości ze strony Inżyniera lub Wykonawcy (np. na podstawie własnych badań).</w:t>
      </w:r>
    </w:p>
    <w:p w:rsidR="00CD292D" w:rsidRDefault="00CD292D" w:rsidP="00CD292D">
      <w:r>
        <w:t>            Badania arbitrażowe wykonuje na wniosek strony kontraktu niezależne laboratorium, które nie wykonywało badań kontrolnych.</w:t>
      </w:r>
    </w:p>
    <w:p w:rsidR="00CD292D" w:rsidRDefault="00CD292D" w:rsidP="00CD292D">
      <w:r>
        <w:t>            Koszty badań arbitrażowych wraz ze wszystkimi kosztami ubocznymi ponosi strona, na której niekorzyść przemawia wynik badania.</w:t>
      </w:r>
    </w:p>
    <w:p w:rsidR="00CD292D" w:rsidRDefault="00CD292D" w:rsidP="00CD292D">
      <w:pPr>
        <w:pStyle w:val="Nagwek1"/>
        <w:rPr>
          <w:rFonts w:eastAsia="Times New Roman"/>
        </w:rPr>
      </w:pPr>
      <w:bookmarkStart w:id="531" w:name="_Toc412707324"/>
      <w:r>
        <w:rPr>
          <w:rFonts w:eastAsia="Times New Roman"/>
        </w:rPr>
        <w:lastRenderedPageBreak/>
        <w:t>7. Obmiar robót</w:t>
      </w:r>
      <w:bookmarkEnd w:id="531"/>
    </w:p>
    <w:p w:rsidR="00CD292D" w:rsidRDefault="00CD292D" w:rsidP="00CD292D">
      <w:pPr>
        <w:pStyle w:val="Nagwek2"/>
        <w:rPr>
          <w:rFonts w:eastAsia="Times New Roman"/>
        </w:rPr>
      </w:pPr>
      <w:r>
        <w:rPr>
          <w:rFonts w:eastAsia="Times New Roman"/>
        </w:rPr>
        <w:t>7.1. Ogólne zasady obmiaru robót</w:t>
      </w:r>
    </w:p>
    <w:p w:rsidR="00CD292D" w:rsidRDefault="00CD292D" w:rsidP="00CD292D">
      <w:pPr>
        <w:rPr>
          <w:rFonts w:eastAsiaTheme="minorEastAsia"/>
        </w:rPr>
      </w:pPr>
      <w:r>
        <w:t>            Ogólne zasady obmiaru robót podano w OST  D-M-00.00.00 „Wymagania ogólne” [1] pkt 7.</w:t>
      </w:r>
    </w:p>
    <w:p w:rsidR="00CD292D" w:rsidRDefault="00CD292D" w:rsidP="00CD292D">
      <w:pPr>
        <w:pStyle w:val="Nagwek2"/>
        <w:rPr>
          <w:rFonts w:eastAsia="Times New Roman"/>
        </w:rPr>
      </w:pPr>
      <w:r>
        <w:rPr>
          <w:rFonts w:eastAsia="Times New Roman"/>
        </w:rPr>
        <w:t>7.2. Jednostka obmiarowa</w:t>
      </w:r>
    </w:p>
    <w:p w:rsidR="00CD292D" w:rsidRDefault="00CD292D" w:rsidP="00CD292D">
      <w:pPr>
        <w:rPr>
          <w:rFonts w:eastAsiaTheme="minorEastAsia"/>
        </w:rPr>
      </w:pPr>
      <w:r>
        <w:t>            Jednostką obmiarową jest m</w:t>
      </w:r>
      <w:r>
        <w:rPr>
          <w:vertAlign w:val="superscript"/>
        </w:rPr>
        <w:t>2</w:t>
      </w:r>
      <w:r>
        <w:t xml:space="preserve"> (metr kwadratowy) wykonanej warstwy z betonu asfaltowego (AC).</w:t>
      </w:r>
    </w:p>
    <w:p w:rsidR="00CD292D" w:rsidRDefault="00CD292D" w:rsidP="00CD292D">
      <w:pPr>
        <w:pStyle w:val="Nagwek1"/>
        <w:rPr>
          <w:rFonts w:eastAsia="Times New Roman"/>
        </w:rPr>
      </w:pPr>
      <w:bookmarkStart w:id="532" w:name="_Toc412707325"/>
      <w:r>
        <w:rPr>
          <w:rFonts w:eastAsia="Times New Roman"/>
        </w:rPr>
        <w:t>8. Odbiór robót</w:t>
      </w:r>
      <w:bookmarkEnd w:id="532"/>
    </w:p>
    <w:p w:rsidR="00CD292D" w:rsidRDefault="00CD292D" w:rsidP="00CD292D">
      <w:pPr>
        <w:rPr>
          <w:rFonts w:eastAsiaTheme="minorEastAsia"/>
        </w:rPr>
      </w:pPr>
      <w:r>
        <w:t>            Ogólne zasady odbioru robót podano w OST  D-M-00.00.00 „Wymagania ogólne” [1] pkt 8.</w:t>
      </w:r>
    </w:p>
    <w:p w:rsidR="00CD292D" w:rsidRDefault="00CD292D" w:rsidP="00CD292D">
      <w:r>
        <w:t>            Roboty uznaje się za wykonane zgodnie z dokumentacją projektową, ST                  i wymaganiami Inżyniera, jeżeli wszystkie pomiary i badania z zachowaniem tolerancji według pktu 6 dały wyniki pozytywne.</w:t>
      </w:r>
    </w:p>
    <w:p w:rsidR="00CD292D" w:rsidRDefault="00CD292D" w:rsidP="00CD292D">
      <w:pPr>
        <w:pStyle w:val="Nagwek1"/>
        <w:rPr>
          <w:rFonts w:eastAsia="Times New Roman"/>
        </w:rPr>
      </w:pPr>
      <w:bookmarkStart w:id="533" w:name="_Toc412707326"/>
      <w:r>
        <w:rPr>
          <w:rFonts w:eastAsia="Times New Roman"/>
        </w:rPr>
        <w:t>9. Podstawa płatności</w:t>
      </w:r>
      <w:bookmarkEnd w:id="533"/>
    </w:p>
    <w:p w:rsidR="00CD292D" w:rsidRDefault="00CD292D" w:rsidP="00CD292D">
      <w:pPr>
        <w:pStyle w:val="Nagwek2"/>
        <w:rPr>
          <w:rFonts w:eastAsia="Times New Roman"/>
        </w:rPr>
      </w:pPr>
      <w:r>
        <w:rPr>
          <w:rFonts w:eastAsia="Times New Roman"/>
        </w:rPr>
        <w:t>9.1. Ogólne ustalenia dotyczące podstawy płatności</w:t>
      </w:r>
    </w:p>
    <w:p w:rsidR="00CD292D" w:rsidRDefault="00CD292D" w:rsidP="00CD292D">
      <w:pPr>
        <w:rPr>
          <w:rFonts w:eastAsiaTheme="minorEastAsia"/>
        </w:rPr>
      </w:pPr>
      <w:r>
        <w:t>            Ogólne ustalenia dotyczące podstawy płatności podano w OST D-M-00.00.00 „Wymagania ogólne” [1] pkt 9.</w:t>
      </w:r>
    </w:p>
    <w:p w:rsidR="00CD292D" w:rsidRDefault="00CD292D" w:rsidP="00CD292D">
      <w:pPr>
        <w:pStyle w:val="Nagwek2"/>
        <w:rPr>
          <w:rFonts w:eastAsia="Times New Roman"/>
        </w:rPr>
      </w:pPr>
      <w:r>
        <w:rPr>
          <w:rFonts w:eastAsia="Times New Roman"/>
        </w:rPr>
        <w:t>9.2. Cena jednostki obmiarowej</w:t>
      </w:r>
    </w:p>
    <w:p w:rsidR="00CD292D" w:rsidRDefault="00CD292D" w:rsidP="00CD292D">
      <w:pPr>
        <w:ind w:firstLine="709"/>
        <w:rPr>
          <w:rFonts w:eastAsiaTheme="minorEastAsia"/>
        </w:rPr>
      </w:pPr>
      <w:r>
        <w:t>Cena wykonania 1 m</w:t>
      </w:r>
      <w:r>
        <w:rPr>
          <w:vertAlign w:val="superscript"/>
        </w:rPr>
        <w:t>2</w:t>
      </w:r>
      <w:r>
        <w:t xml:space="preserve"> warstwy  z betonu asfaltowego (AC) obejmuje:</w:t>
      </w:r>
    </w:p>
    <w:p w:rsidR="00CD292D" w:rsidRDefault="00CD292D" w:rsidP="00CD292D">
      <w:pPr>
        <w:ind w:left="283" w:hanging="283"/>
      </w:pPr>
      <w:r>
        <w:rPr>
          <w:rFonts w:ascii="Symbol" w:hAnsi="Symbol"/>
          <w:sz w:val="20"/>
          <w:szCs w:val="20"/>
        </w:rPr>
        <w:t></w:t>
      </w:r>
      <w:r>
        <w:rPr>
          <w:sz w:val="14"/>
          <w:szCs w:val="14"/>
        </w:rPr>
        <w:t xml:space="preserve">      </w:t>
      </w:r>
      <w:r>
        <w:t xml:space="preserve">prace pomiarowe i roboty przygotowawcze, </w:t>
      </w:r>
    </w:p>
    <w:p w:rsidR="00CD292D" w:rsidRDefault="00CD292D" w:rsidP="00CD292D">
      <w:pPr>
        <w:ind w:left="283" w:hanging="283"/>
      </w:pPr>
      <w:r>
        <w:rPr>
          <w:rFonts w:ascii="Symbol" w:hAnsi="Symbol"/>
          <w:sz w:val="20"/>
          <w:szCs w:val="20"/>
        </w:rPr>
        <w:t></w:t>
      </w:r>
      <w:r>
        <w:rPr>
          <w:sz w:val="14"/>
          <w:szCs w:val="14"/>
        </w:rPr>
        <w:t xml:space="preserve">      </w:t>
      </w:r>
      <w:r>
        <w:t>oznakowanie robót,</w:t>
      </w:r>
    </w:p>
    <w:p w:rsidR="00CD292D" w:rsidRDefault="00CD292D" w:rsidP="00CD292D">
      <w:pPr>
        <w:ind w:left="283" w:hanging="283"/>
      </w:pPr>
      <w:r>
        <w:rPr>
          <w:rFonts w:ascii="Symbol" w:hAnsi="Symbol"/>
          <w:sz w:val="20"/>
          <w:szCs w:val="20"/>
        </w:rPr>
        <w:t></w:t>
      </w:r>
      <w:r>
        <w:rPr>
          <w:sz w:val="14"/>
          <w:szCs w:val="14"/>
        </w:rPr>
        <w:t xml:space="preserve">      </w:t>
      </w:r>
      <w:r>
        <w:t>oczyszczenie i skropienie podłoża,</w:t>
      </w:r>
    </w:p>
    <w:p w:rsidR="00CD292D" w:rsidRDefault="00CD292D" w:rsidP="00CD292D">
      <w:pPr>
        <w:ind w:left="283" w:hanging="283"/>
      </w:pPr>
      <w:r>
        <w:rPr>
          <w:rFonts w:ascii="Symbol" w:hAnsi="Symbol"/>
          <w:sz w:val="20"/>
          <w:szCs w:val="20"/>
        </w:rPr>
        <w:t></w:t>
      </w:r>
      <w:r>
        <w:rPr>
          <w:sz w:val="14"/>
          <w:szCs w:val="14"/>
        </w:rPr>
        <w:t xml:space="preserve">      </w:t>
      </w:r>
      <w:r>
        <w:t>dostarczenie materiałów i sprzętu,</w:t>
      </w:r>
    </w:p>
    <w:p w:rsidR="00CD292D" w:rsidRDefault="00CD292D" w:rsidP="00CD292D">
      <w:pPr>
        <w:ind w:left="283" w:hanging="283"/>
      </w:pPr>
      <w:r>
        <w:rPr>
          <w:rFonts w:ascii="Symbol" w:hAnsi="Symbol"/>
          <w:sz w:val="20"/>
          <w:szCs w:val="20"/>
        </w:rPr>
        <w:t></w:t>
      </w:r>
      <w:r>
        <w:rPr>
          <w:sz w:val="14"/>
          <w:szCs w:val="14"/>
        </w:rPr>
        <w:t xml:space="preserve">      </w:t>
      </w:r>
      <w:r>
        <w:t>opracowanie recepty laboratoryjnej,</w:t>
      </w:r>
    </w:p>
    <w:p w:rsidR="00CD292D" w:rsidRDefault="00CD292D" w:rsidP="00CD292D">
      <w:pPr>
        <w:ind w:left="283" w:hanging="283"/>
      </w:pPr>
      <w:r>
        <w:rPr>
          <w:rFonts w:ascii="Symbol" w:hAnsi="Symbol"/>
          <w:sz w:val="20"/>
          <w:szCs w:val="20"/>
        </w:rPr>
        <w:t></w:t>
      </w:r>
      <w:r>
        <w:rPr>
          <w:sz w:val="14"/>
          <w:szCs w:val="14"/>
        </w:rPr>
        <w:t xml:space="preserve">      </w:t>
      </w:r>
      <w:r>
        <w:t>wykonanie próby technologicznej i odcinka próbnego,</w:t>
      </w:r>
    </w:p>
    <w:p w:rsidR="00CD292D" w:rsidRDefault="00CD292D" w:rsidP="00CD292D">
      <w:pPr>
        <w:ind w:left="283" w:hanging="283"/>
      </w:pPr>
      <w:r>
        <w:rPr>
          <w:rFonts w:ascii="Symbol" w:hAnsi="Symbol"/>
          <w:sz w:val="20"/>
          <w:szCs w:val="20"/>
        </w:rPr>
        <w:t></w:t>
      </w:r>
      <w:r>
        <w:rPr>
          <w:sz w:val="14"/>
          <w:szCs w:val="14"/>
        </w:rPr>
        <w:t xml:space="preserve">      </w:t>
      </w:r>
      <w:r>
        <w:t>wyprodukowanie mieszanki betonu asfaltowego i jej transport na miejsce wbudowania,</w:t>
      </w:r>
    </w:p>
    <w:p w:rsidR="00CD292D" w:rsidRDefault="00CD292D" w:rsidP="00CD292D">
      <w:pPr>
        <w:ind w:left="283" w:hanging="283"/>
      </w:pPr>
      <w:r>
        <w:rPr>
          <w:rFonts w:ascii="Symbol" w:hAnsi="Symbol"/>
          <w:sz w:val="20"/>
          <w:szCs w:val="20"/>
        </w:rPr>
        <w:t></w:t>
      </w:r>
      <w:r>
        <w:rPr>
          <w:sz w:val="14"/>
          <w:szCs w:val="14"/>
        </w:rPr>
        <w:t xml:space="preserve">      </w:t>
      </w:r>
      <w:r>
        <w:t>posmarowanie lepiszczem lub pokrycie taśmą asfaltową krawędzi urządzeń obcych i krawężników,</w:t>
      </w:r>
    </w:p>
    <w:p w:rsidR="00CD292D" w:rsidRDefault="00CD292D" w:rsidP="00CD292D">
      <w:pPr>
        <w:ind w:left="283" w:hanging="283"/>
      </w:pPr>
      <w:r>
        <w:rPr>
          <w:rFonts w:ascii="Symbol" w:hAnsi="Symbol"/>
          <w:sz w:val="20"/>
          <w:szCs w:val="20"/>
        </w:rPr>
        <w:t></w:t>
      </w:r>
      <w:r>
        <w:rPr>
          <w:sz w:val="14"/>
          <w:szCs w:val="14"/>
        </w:rPr>
        <w:t xml:space="preserve">      </w:t>
      </w:r>
      <w:r>
        <w:t>rozłożenie i zagęszczenie mieszanki betonu asfaltowego,</w:t>
      </w:r>
    </w:p>
    <w:p w:rsidR="00CD292D" w:rsidRDefault="00CD292D" w:rsidP="00CD292D">
      <w:pPr>
        <w:ind w:left="283" w:hanging="283"/>
      </w:pPr>
      <w:r>
        <w:rPr>
          <w:rFonts w:ascii="Symbol" w:hAnsi="Symbol"/>
          <w:sz w:val="20"/>
          <w:szCs w:val="20"/>
        </w:rPr>
        <w:t></w:t>
      </w:r>
      <w:r>
        <w:rPr>
          <w:sz w:val="14"/>
          <w:szCs w:val="14"/>
        </w:rPr>
        <w:t xml:space="preserve">      </w:t>
      </w:r>
      <w:r>
        <w:t>obcięcie krawędzi i posmarowanie lepiszczem,</w:t>
      </w:r>
    </w:p>
    <w:p w:rsidR="00CD292D" w:rsidRDefault="00CD292D" w:rsidP="00CD292D">
      <w:pPr>
        <w:ind w:left="283" w:hanging="283"/>
      </w:pPr>
      <w:r>
        <w:rPr>
          <w:rFonts w:ascii="Symbol" w:hAnsi="Symbol"/>
          <w:sz w:val="20"/>
          <w:szCs w:val="20"/>
        </w:rPr>
        <w:t></w:t>
      </w:r>
      <w:r>
        <w:rPr>
          <w:sz w:val="14"/>
          <w:szCs w:val="14"/>
        </w:rPr>
        <w:t xml:space="preserve">      </w:t>
      </w:r>
      <w:r>
        <w:t>przeprowadzenie pomiarów i badań  wymaganych w specyfikacji technicznej,</w:t>
      </w:r>
    </w:p>
    <w:p w:rsidR="00CD292D" w:rsidRDefault="00CD292D" w:rsidP="00CD292D">
      <w:pPr>
        <w:ind w:left="283" w:hanging="283"/>
      </w:pPr>
      <w:r>
        <w:rPr>
          <w:rFonts w:ascii="Symbol" w:hAnsi="Symbol"/>
          <w:sz w:val="20"/>
          <w:szCs w:val="20"/>
        </w:rPr>
        <w:t></w:t>
      </w:r>
      <w:r>
        <w:rPr>
          <w:sz w:val="14"/>
          <w:szCs w:val="14"/>
        </w:rPr>
        <w:t xml:space="preserve">      </w:t>
      </w:r>
      <w:r>
        <w:t>odwiezienie sprzętu.</w:t>
      </w:r>
    </w:p>
    <w:p w:rsidR="00CD292D" w:rsidRDefault="00CD292D" w:rsidP="00CD292D">
      <w:pPr>
        <w:pStyle w:val="Nagwek2"/>
        <w:rPr>
          <w:rFonts w:eastAsia="Times New Roman"/>
        </w:rPr>
      </w:pPr>
      <w:r>
        <w:rPr>
          <w:rFonts w:eastAsia="Times New Roman"/>
        </w:rPr>
        <w:t>9.3. Sposób rozliczenia robót tymczasowych i prac towarzyszących</w:t>
      </w:r>
    </w:p>
    <w:p w:rsidR="00CD292D" w:rsidRDefault="00CD292D" w:rsidP="00CD292D">
      <w:pPr>
        <w:rPr>
          <w:rFonts w:eastAsiaTheme="minorEastAsia"/>
        </w:rPr>
      </w:pPr>
      <w:r>
        <w:t>            Cena wykonania robót określonych niniejszą OST obejmuje:</w:t>
      </w:r>
    </w:p>
    <w:p w:rsidR="00CD292D" w:rsidRDefault="00CD292D" w:rsidP="00CD292D">
      <w:pPr>
        <w:ind w:left="283" w:hanging="283"/>
      </w:pPr>
      <w:r>
        <w:rPr>
          <w:rFonts w:ascii="Symbol" w:hAnsi="Symbol"/>
          <w:sz w:val="20"/>
          <w:szCs w:val="20"/>
        </w:rPr>
        <w:t></w:t>
      </w:r>
      <w:r>
        <w:rPr>
          <w:sz w:val="14"/>
          <w:szCs w:val="14"/>
        </w:rPr>
        <w:t xml:space="preserve">      </w:t>
      </w:r>
      <w:r>
        <w:t>roboty tymczasowe, które są potrzebne do wykonania robót podstawowych, ale nie są przekazywane Zamawiającemu i są usuwane po wykonaniu robót podstawowych,</w:t>
      </w:r>
    </w:p>
    <w:p w:rsidR="00CD292D" w:rsidRDefault="00CD292D" w:rsidP="00CD292D">
      <w:pPr>
        <w:ind w:left="283" w:hanging="283"/>
      </w:pPr>
      <w:r>
        <w:rPr>
          <w:rFonts w:ascii="Symbol" w:hAnsi="Symbol"/>
          <w:sz w:val="20"/>
          <w:szCs w:val="20"/>
        </w:rPr>
        <w:lastRenderedPageBreak/>
        <w:t></w:t>
      </w:r>
      <w:r>
        <w:rPr>
          <w:sz w:val="14"/>
          <w:szCs w:val="14"/>
        </w:rPr>
        <w:t xml:space="preserve">      </w:t>
      </w:r>
      <w:r>
        <w:t>prace towarzyszące, które są niezbędne do wykonania robót podstawowych, niezaliczane do robót tymczasowych, jak geodezyjne wytyczenie robót itd.</w:t>
      </w:r>
    </w:p>
    <w:p w:rsidR="00CD292D" w:rsidRDefault="00CD292D" w:rsidP="00CD292D">
      <w:pPr>
        <w:pStyle w:val="Nagwek1"/>
        <w:rPr>
          <w:rFonts w:eastAsia="Times New Roman"/>
        </w:rPr>
      </w:pPr>
      <w:bookmarkStart w:id="534" w:name="_Toc412707327"/>
      <w:r>
        <w:rPr>
          <w:rFonts w:eastAsia="Times New Roman"/>
        </w:rPr>
        <w:t>10. Przepisy związane</w:t>
      </w:r>
      <w:bookmarkEnd w:id="534"/>
    </w:p>
    <w:p w:rsidR="00CD292D" w:rsidRDefault="00CD292D" w:rsidP="00CD292D">
      <w:pPr>
        <w:pStyle w:val="Nagwek2"/>
        <w:rPr>
          <w:rFonts w:eastAsia="Times New Roman"/>
        </w:rPr>
      </w:pPr>
      <w:r>
        <w:rPr>
          <w:rFonts w:eastAsia="Times New Roman"/>
        </w:rPr>
        <w:t>10.1. Ogólne specyfikacje techniczne (OST)</w:t>
      </w:r>
    </w:p>
    <w:tbl>
      <w:tblPr>
        <w:tblW w:w="0" w:type="auto"/>
        <w:tblCellMar>
          <w:left w:w="0" w:type="dxa"/>
          <w:right w:w="0" w:type="dxa"/>
        </w:tblCellMar>
        <w:tblLook w:val="04A0" w:firstRow="1" w:lastRow="0" w:firstColumn="1" w:lastColumn="0" w:noHBand="0" w:noVBand="1"/>
      </w:tblPr>
      <w:tblGrid>
        <w:gridCol w:w="496"/>
        <w:gridCol w:w="2334"/>
        <w:gridCol w:w="6000"/>
      </w:tblGrid>
      <w:tr w:rsidR="00CD292D" w:rsidTr="00CD292D">
        <w:tc>
          <w:tcPr>
            <w:tcW w:w="496" w:type="dxa"/>
            <w:tcMar>
              <w:top w:w="0" w:type="dxa"/>
              <w:left w:w="70" w:type="dxa"/>
              <w:bottom w:w="0" w:type="dxa"/>
              <w:right w:w="70" w:type="dxa"/>
            </w:tcMar>
            <w:hideMark/>
          </w:tcPr>
          <w:p w:rsidR="00CD292D" w:rsidRDefault="00CD292D">
            <w:pPr>
              <w:jc w:val="right"/>
              <w:rPr>
                <w:rFonts w:eastAsiaTheme="minorEastAsia"/>
              </w:rPr>
            </w:pPr>
            <w:r>
              <w:t>1.</w:t>
            </w:r>
          </w:p>
        </w:tc>
        <w:tc>
          <w:tcPr>
            <w:tcW w:w="2334" w:type="dxa"/>
            <w:tcMar>
              <w:top w:w="0" w:type="dxa"/>
              <w:left w:w="70" w:type="dxa"/>
              <w:bottom w:w="0" w:type="dxa"/>
              <w:right w:w="70" w:type="dxa"/>
            </w:tcMar>
            <w:hideMark/>
          </w:tcPr>
          <w:p w:rsidR="00CD292D" w:rsidRDefault="00CD292D">
            <w:r>
              <w:t>D-M-00.00.00</w:t>
            </w:r>
          </w:p>
        </w:tc>
        <w:tc>
          <w:tcPr>
            <w:tcW w:w="6000" w:type="dxa"/>
            <w:tcMar>
              <w:top w:w="0" w:type="dxa"/>
              <w:left w:w="70" w:type="dxa"/>
              <w:bottom w:w="0" w:type="dxa"/>
              <w:right w:w="70" w:type="dxa"/>
            </w:tcMar>
            <w:hideMark/>
          </w:tcPr>
          <w:p w:rsidR="00CD292D" w:rsidRDefault="00CD292D">
            <w:r>
              <w:t>Wymagania ogólne</w:t>
            </w:r>
          </w:p>
        </w:tc>
      </w:tr>
      <w:tr w:rsidR="00CD292D" w:rsidTr="00CD292D">
        <w:tc>
          <w:tcPr>
            <w:tcW w:w="496" w:type="dxa"/>
            <w:tcMar>
              <w:top w:w="0" w:type="dxa"/>
              <w:left w:w="70" w:type="dxa"/>
              <w:bottom w:w="0" w:type="dxa"/>
              <w:right w:w="70" w:type="dxa"/>
            </w:tcMar>
            <w:hideMark/>
          </w:tcPr>
          <w:p w:rsidR="00CD292D" w:rsidRDefault="00CD292D">
            <w:pPr>
              <w:jc w:val="right"/>
            </w:pPr>
            <w:r>
              <w:t>2.</w:t>
            </w:r>
          </w:p>
        </w:tc>
        <w:tc>
          <w:tcPr>
            <w:tcW w:w="2334" w:type="dxa"/>
            <w:tcMar>
              <w:top w:w="0" w:type="dxa"/>
              <w:left w:w="70" w:type="dxa"/>
              <w:bottom w:w="0" w:type="dxa"/>
              <w:right w:w="70" w:type="dxa"/>
            </w:tcMar>
            <w:hideMark/>
          </w:tcPr>
          <w:p w:rsidR="00CD292D" w:rsidRDefault="00CD292D">
            <w:r>
              <w:t>D-04.03.01a</w:t>
            </w:r>
          </w:p>
        </w:tc>
        <w:tc>
          <w:tcPr>
            <w:tcW w:w="6000" w:type="dxa"/>
            <w:tcMar>
              <w:top w:w="0" w:type="dxa"/>
              <w:left w:w="70" w:type="dxa"/>
              <w:bottom w:w="0" w:type="dxa"/>
              <w:right w:w="70" w:type="dxa"/>
            </w:tcMar>
            <w:hideMark/>
          </w:tcPr>
          <w:p w:rsidR="00CD292D" w:rsidRDefault="00CD292D">
            <w:r>
              <w:t>Połączenie międzywarstwowe nawierzchni drogowej emulsją asfaltową</w:t>
            </w:r>
          </w:p>
        </w:tc>
      </w:tr>
    </w:tbl>
    <w:p w:rsidR="00CD292D" w:rsidRDefault="00CD292D" w:rsidP="00CD292D">
      <w:pPr>
        <w:pStyle w:val="Nagwek2"/>
        <w:rPr>
          <w:rFonts w:eastAsia="Times New Roman"/>
        </w:rPr>
      </w:pPr>
      <w:r>
        <w:rPr>
          <w:rFonts w:eastAsia="Times New Roman"/>
        </w:rPr>
        <w:t>10.2. Normy</w:t>
      </w:r>
    </w:p>
    <w:p w:rsidR="00CD292D" w:rsidRDefault="00CD292D" w:rsidP="00CD292D">
      <w:pPr>
        <w:spacing w:after="120"/>
        <w:rPr>
          <w:rFonts w:eastAsiaTheme="minorEastAsia"/>
        </w:rPr>
      </w:pPr>
      <w: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614"/>
        <w:gridCol w:w="17"/>
        <w:gridCol w:w="2237"/>
        <w:gridCol w:w="7480"/>
      </w:tblGrid>
      <w:tr w:rsidR="00CD292D" w:rsidTr="00CD292D">
        <w:tc>
          <w:tcPr>
            <w:tcW w:w="614" w:type="dxa"/>
            <w:tcMar>
              <w:top w:w="0" w:type="dxa"/>
              <w:left w:w="108" w:type="dxa"/>
              <w:bottom w:w="0" w:type="dxa"/>
              <w:right w:w="108" w:type="dxa"/>
            </w:tcMar>
            <w:hideMark/>
          </w:tcPr>
          <w:p w:rsidR="00CD292D" w:rsidRDefault="00CD292D">
            <w:pPr>
              <w:jc w:val="right"/>
            </w:pPr>
            <w:r>
              <w:t>3.</w:t>
            </w:r>
          </w:p>
        </w:tc>
        <w:tc>
          <w:tcPr>
            <w:tcW w:w="2254" w:type="dxa"/>
            <w:gridSpan w:val="2"/>
            <w:tcMar>
              <w:top w:w="0" w:type="dxa"/>
              <w:left w:w="108" w:type="dxa"/>
              <w:bottom w:w="0" w:type="dxa"/>
              <w:right w:w="108" w:type="dxa"/>
            </w:tcMar>
            <w:hideMark/>
          </w:tcPr>
          <w:p w:rsidR="00CD292D" w:rsidRDefault="00CD292D">
            <w:r>
              <w:t>PN-EN 196-2</w:t>
            </w:r>
          </w:p>
        </w:tc>
        <w:tc>
          <w:tcPr>
            <w:tcW w:w="7480" w:type="dxa"/>
            <w:tcMar>
              <w:top w:w="0" w:type="dxa"/>
              <w:left w:w="108" w:type="dxa"/>
              <w:bottom w:w="0" w:type="dxa"/>
              <w:right w:w="108" w:type="dxa"/>
            </w:tcMar>
            <w:hideMark/>
          </w:tcPr>
          <w:p w:rsidR="00CD292D" w:rsidRDefault="00CD292D">
            <w:r>
              <w:t>Metody badania cementu - Część 2: Analiza chemiczna cementu</w:t>
            </w:r>
          </w:p>
        </w:tc>
      </w:tr>
      <w:tr w:rsidR="00CD292D" w:rsidTr="00CD292D">
        <w:tc>
          <w:tcPr>
            <w:tcW w:w="614" w:type="dxa"/>
            <w:tcMar>
              <w:top w:w="0" w:type="dxa"/>
              <w:left w:w="108" w:type="dxa"/>
              <w:bottom w:w="0" w:type="dxa"/>
              <w:right w:w="108" w:type="dxa"/>
            </w:tcMar>
            <w:hideMark/>
          </w:tcPr>
          <w:p w:rsidR="00CD292D" w:rsidRDefault="00CD292D">
            <w:pPr>
              <w:jc w:val="right"/>
            </w:pPr>
            <w:r>
              <w:t>4.</w:t>
            </w:r>
          </w:p>
        </w:tc>
        <w:tc>
          <w:tcPr>
            <w:tcW w:w="2254" w:type="dxa"/>
            <w:gridSpan w:val="2"/>
            <w:tcMar>
              <w:top w:w="0" w:type="dxa"/>
              <w:left w:w="108" w:type="dxa"/>
              <w:bottom w:w="0" w:type="dxa"/>
              <w:right w:w="108" w:type="dxa"/>
            </w:tcMar>
            <w:hideMark/>
          </w:tcPr>
          <w:p w:rsidR="00CD292D" w:rsidRDefault="00CD292D">
            <w:r>
              <w:t>PN-EN 459-2</w:t>
            </w:r>
          </w:p>
        </w:tc>
        <w:tc>
          <w:tcPr>
            <w:tcW w:w="7480" w:type="dxa"/>
            <w:tcMar>
              <w:top w:w="0" w:type="dxa"/>
              <w:left w:w="108" w:type="dxa"/>
              <w:bottom w:w="0" w:type="dxa"/>
              <w:right w:w="108" w:type="dxa"/>
            </w:tcMar>
            <w:hideMark/>
          </w:tcPr>
          <w:p w:rsidR="00CD292D" w:rsidRDefault="00CD292D">
            <w:r>
              <w:t>Wapno budowlane – Część 2: Metody badań</w:t>
            </w:r>
          </w:p>
        </w:tc>
      </w:tr>
      <w:tr w:rsidR="00CD292D" w:rsidTr="00CD292D">
        <w:tc>
          <w:tcPr>
            <w:tcW w:w="614" w:type="dxa"/>
            <w:tcMar>
              <w:top w:w="0" w:type="dxa"/>
              <w:left w:w="108" w:type="dxa"/>
              <w:bottom w:w="0" w:type="dxa"/>
              <w:right w:w="108" w:type="dxa"/>
            </w:tcMar>
            <w:hideMark/>
          </w:tcPr>
          <w:p w:rsidR="00CD292D" w:rsidRDefault="00CD292D">
            <w:pPr>
              <w:jc w:val="right"/>
            </w:pPr>
            <w:r>
              <w:t>5.</w:t>
            </w:r>
          </w:p>
        </w:tc>
        <w:tc>
          <w:tcPr>
            <w:tcW w:w="2254" w:type="dxa"/>
            <w:gridSpan w:val="2"/>
            <w:tcMar>
              <w:top w:w="0" w:type="dxa"/>
              <w:left w:w="108" w:type="dxa"/>
              <w:bottom w:w="0" w:type="dxa"/>
              <w:right w:w="108" w:type="dxa"/>
            </w:tcMar>
            <w:hideMark/>
          </w:tcPr>
          <w:p w:rsidR="00CD292D" w:rsidRDefault="00CD292D">
            <w:r>
              <w:t>PN-EN 932-3</w:t>
            </w:r>
          </w:p>
        </w:tc>
        <w:tc>
          <w:tcPr>
            <w:tcW w:w="7480" w:type="dxa"/>
            <w:tcMar>
              <w:top w:w="0" w:type="dxa"/>
              <w:left w:w="108" w:type="dxa"/>
              <w:bottom w:w="0" w:type="dxa"/>
              <w:right w:w="108" w:type="dxa"/>
            </w:tcMar>
            <w:hideMark/>
          </w:tcPr>
          <w:p w:rsidR="00CD292D" w:rsidRDefault="00CD292D">
            <w:r>
              <w:t>Badania podstawowych właściwości kruszyw – Procedura i terminologia uproszczonego opisu petrograficznego</w:t>
            </w:r>
          </w:p>
        </w:tc>
      </w:tr>
      <w:tr w:rsidR="00CD292D" w:rsidTr="00CD292D">
        <w:tc>
          <w:tcPr>
            <w:tcW w:w="614" w:type="dxa"/>
            <w:tcMar>
              <w:top w:w="0" w:type="dxa"/>
              <w:left w:w="108" w:type="dxa"/>
              <w:bottom w:w="0" w:type="dxa"/>
              <w:right w:w="108" w:type="dxa"/>
            </w:tcMar>
            <w:hideMark/>
          </w:tcPr>
          <w:p w:rsidR="00CD292D" w:rsidRDefault="00CD292D">
            <w:pPr>
              <w:jc w:val="right"/>
            </w:pPr>
            <w:r>
              <w:t>6.</w:t>
            </w:r>
          </w:p>
        </w:tc>
        <w:tc>
          <w:tcPr>
            <w:tcW w:w="2254" w:type="dxa"/>
            <w:gridSpan w:val="2"/>
            <w:tcMar>
              <w:top w:w="0" w:type="dxa"/>
              <w:left w:w="108" w:type="dxa"/>
              <w:bottom w:w="0" w:type="dxa"/>
              <w:right w:w="108" w:type="dxa"/>
            </w:tcMar>
            <w:hideMark/>
          </w:tcPr>
          <w:p w:rsidR="00CD292D" w:rsidRDefault="00CD292D">
            <w:r>
              <w:t>PN-EN 933-1</w:t>
            </w:r>
          </w:p>
        </w:tc>
        <w:tc>
          <w:tcPr>
            <w:tcW w:w="7480" w:type="dxa"/>
            <w:tcMar>
              <w:top w:w="0" w:type="dxa"/>
              <w:left w:w="108" w:type="dxa"/>
              <w:bottom w:w="0" w:type="dxa"/>
              <w:right w:w="108" w:type="dxa"/>
            </w:tcMar>
            <w:hideMark/>
          </w:tcPr>
          <w:p w:rsidR="00CD292D" w:rsidRDefault="00CD292D">
            <w:r>
              <w:t>Badania geometrycznych właściwości kruszyw – Część 1: Oznaczanie składu ziarnowego – Metoda przesiewania</w:t>
            </w:r>
          </w:p>
        </w:tc>
      </w:tr>
      <w:tr w:rsidR="00CD292D" w:rsidTr="00CD292D">
        <w:tc>
          <w:tcPr>
            <w:tcW w:w="614" w:type="dxa"/>
            <w:tcMar>
              <w:top w:w="0" w:type="dxa"/>
              <w:left w:w="108" w:type="dxa"/>
              <w:bottom w:w="0" w:type="dxa"/>
              <w:right w:w="108" w:type="dxa"/>
            </w:tcMar>
            <w:hideMark/>
          </w:tcPr>
          <w:p w:rsidR="00CD292D" w:rsidRDefault="00CD292D">
            <w:pPr>
              <w:jc w:val="right"/>
            </w:pPr>
            <w:r>
              <w:t>7.</w:t>
            </w:r>
          </w:p>
        </w:tc>
        <w:tc>
          <w:tcPr>
            <w:tcW w:w="2254" w:type="dxa"/>
            <w:gridSpan w:val="2"/>
            <w:tcMar>
              <w:top w:w="0" w:type="dxa"/>
              <w:left w:w="108" w:type="dxa"/>
              <w:bottom w:w="0" w:type="dxa"/>
              <w:right w:w="108" w:type="dxa"/>
            </w:tcMar>
            <w:hideMark/>
          </w:tcPr>
          <w:p w:rsidR="00CD292D" w:rsidRDefault="00CD292D">
            <w:r>
              <w:t>PN-EN 933-3</w:t>
            </w:r>
          </w:p>
        </w:tc>
        <w:tc>
          <w:tcPr>
            <w:tcW w:w="7480" w:type="dxa"/>
            <w:tcMar>
              <w:top w:w="0" w:type="dxa"/>
              <w:left w:w="108" w:type="dxa"/>
              <w:bottom w:w="0" w:type="dxa"/>
              <w:right w:w="108" w:type="dxa"/>
            </w:tcMar>
            <w:hideMark/>
          </w:tcPr>
          <w:p w:rsidR="00CD292D" w:rsidRDefault="00CD292D">
            <w:r>
              <w:t>Badania geometrycznych właściwości kruszyw – Część 3: Oznaczanie kształtu ziarn za pomocą wskaźnika płaskości</w:t>
            </w:r>
          </w:p>
        </w:tc>
      </w:tr>
      <w:tr w:rsidR="00CD292D" w:rsidTr="00CD292D">
        <w:tc>
          <w:tcPr>
            <w:tcW w:w="614" w:type="dxa"/>
            <w:tcMar>
              <w:top w:w="0" w:type="dxa"/>
              <w:left w:w="108" w:type="dxa"/>
              <w:bottom w:w="0" w:type="dxa"/>
              <w:right w:w="108" w:type="dxa"/>
            </w:tcMar>
            <w:hideMark/>
          </w:tcPr>
          <w:p w:rsidR="00CD292D" w:rsidRDefault="00CD292D">
            <w:pPr>
              <w:jc w:val="right"/>
            </w:pPr>
            <w:r>
              <w:t>8.</w:t>
            </w:r>
          </w:p>
        </w:tc>
        <w:tc>
          <w:tcPr>
            <w:tcW w:w="2254" w:type="dxa"/>
            <w:gridSpan w:val="2"/>
            <w:tcMar>
              <w:top w:w="0" w:type="dxa"/>
              <w:left w:w="108" w:type="dxa"/>
              <w:bottom w:w="0" w:type="dxa"/>
              <w:right w:w="108" w:type="dxa"/>
            </w:tcMar>
            <w:hideMark/>
          </w:tcPr>
          <w:p w:rsidR="00CD292D" w:rsidRDefault="00CD292D">
            <w:r>
              <w:t>PN-EN 933-4</w:t>
            </w:r>
          </w:p>
        </w:tc>
        <w:tc>
          <w:tcPr>
            <w:tcW w:w="7480" w:type="dxa"/>
            <w:tcMar>
              <w:top w:w="0" w:type="dxa"/>
              <w:left w:w="108" w:type="dxa"/>
              <w:bottom w:w="0" w:type="dxa"/>
              <w:right w:w="108" w:type="dxa"/>
            </w:tcMar>
            <w:hideMark/>
          </w:tcPr>
          <w:p w:rsidR="00CD292D" w:rsidRDefault="00CD292D">
            <w:r>
              <w:t>Badania geometrycznych właściwości kruszyw – Część 4: Oznaczanie kształtu ziarn – Wskaźnik kształtu</w:t>
            </w:r>
          </w:p>
        </w:tc>
      </w:tr>
      <w:tr w:rsidR="00CD292D" w:rsidTr="00CD292D">
        <w:tc>
          <w:tcPr>
            <w:tcW w:w="614" w:type="dxa"/>
            <w:tcMar>
              <w:top w:w="0" w:type="dxa"/>
              <w:left w:w="108" w:type="dxa"/>
              <w:bottom w:w="0" w:type="dxa"/>
              <w:right w:w="108" w:type="dxa"/>
            </w:tcMar>
            <w:hideMark/>
          </w:tcPr>
          <w:p w:rsidR="00CD292D" w:rsidRDefault="00CD292D">
            <w:pPr>
              <w:jc w:val="right"/>
            </w:pPr>
            <w:r>
              <w:t>9.</w:t>
            </w:r>
          </w:p>
        </w:tc>
        <w:tc>
          <w:tcPr>
            <w:tcW w:w="2254" w:type="dxa"/>
            <w:gridSpan w:val="2"/>
            <w:tcMar>
              <w:top w:w="0" w:type="dxa"/>
              <w:left w:w="108" w:type="dxa"/>
              <w:bottom w:w="0" w:type="dxa"/>
              <w:right w:w="108" w:type="dxa"/>
            </w:tcMar>
            <w:hideMark/>
          </w:tcPr>
          <w:p w:rsidR="00CD292D" w:rsidRDefault="00CD292D">
            <w:r>
              <w:t>PN-EN 933-5</w:t>
            </w:r>
          </w:p>
        </w:tc>
        <w:tc>
          <w:tcPr>
            <w:tcW w:w="7480" w:type="dxa"/>
            <w:tcMar>
              <w:top w:w="0" w:type="dxa"/>
              <w:left w:w="108" w:type="dxa"/>
              <w:bottom w:w="0" w:type="dxa"/>
              <w:right w:w="108" w:type="dxa"/>
            </w:tcMar>
            <w:hideMark/>
          </w:tcPr>
          <w:p w:rsidR="00CD292D" w:rsidRDefault="00CD292D">
            <w:r>
              <w:t>Badania geometrycznych właściwości kruszyw – Oznaczanie procentowej zawartości ziarn o powierzchniach powstałych w wyniku przekruszenia lub łamania kruszyw grubych</w:t>
            </w:r>
          </w:p>
        </w:tc>
      </w:tr>
      <w:tr w:rsidR="00CD292D" w:rsidTr="00CD292D">
        <w:tc>
          <w:tcPr>
            <w:tcW w:w="614" w:type="dxa"/>
            <w:tcMar>
              <w:top w:w="0" w:type="dxa"/>
              <w:left w:w="108" w:type="dxa"/>
              <w:bottom w:w="0" w:type="dxa"/>
              <w:right w:w="108" w:type="dxa"/>
            </w:tcMar>
            <w:hideMark/>
          </w:tcPr>
          <w:p w:rsidR="00CD292D" w:rsidRDefault="00CD292D">
            <w:pPr>
              <w:jc w:val="right"/>
            </w:pPr>
            <w:r>
              <w:t>10.</w:t>
            </w:r>
          </w:p>
        </w:tc>
        <w:tc>
          <w:tcPr>
            <w:tcW w:w="2254" w:type="dxa"/>
            <w:gridSpan w:val="2"/>
            <w:tcMar>
              <w:top w:w="0" w:type="dxa"/>
              <w:left w:w="108" w:type="dxa"/>
              <w:bottom w:w="0" w:type="dxa"/>
              <w:right w:w="108" w:type="dxa"/>
            </w:tcMar>
            <w:hideMark/>
          </w:tcPr>
          <w:p w:rsidR="00CD292D" w:rsidRDefault="00CD292D">
            <w:r>
              <w:t>PN-EN 933-6</w:t>
            </w:r>
          </w:p>
        </w:tc>
        <w:tc>
          <w:tcPr>
            <w:tcW w:w="7480" w:type="dxa"/>
            <w:tcMar>
              <w:top w:w="0" w:type="dxa"/>
              <w:left w:w="108" w:type="dxa"/>
              <w:bottom w:w="0" w:type="dxa"/>
              <w:right w:w="108" w:type="dxa"/>
            </w:tcMar>
            <w:hideMark/>
          </w:tcPr>
          <w:p w:rsidR="00CD292D" w:rsidRDefault="00CD292D">
            <w:r>
              <w:t>Badania geometrycznych właściwości kruszyw – Część 6: Ocena właściwości powierzchni – Wskaźnik przepływu kruszyw</w:t>
            </w:r>
          </w:p>
        </w:tc>
      </w:tr>
      <w:tr w:rsidR="00CD292D" w:rsidTr="00CD292D">
        <w:tc>
          <w:tcPr>
            <w:tcW w:w="614" w:type="dxa"/>
            <w:tcMar>
              <w:top w:w="0" w:type="dxa"/>
              <w:left w:w="108" w:type="dxa"/>
              <w:bottom w:w="0" w:type="dxa"/>
              <w:right w:w="108" w:type="dxa"/>
            </w:tcMar>
            <w:hideMark/>
          </w:tcPr>
          <w:p w:rsidR="00CD292D" w:rsidRDefault="00CD292D">
            <w:pPr>
              <w:jc w:val="right"/>
            </w:pPr>
            <w:r>
              <w:t>11.</w:t>
            </w:r>
          </w:p>
        </w:tc>
        <w:tc>
          <w:tcPr>
            <w:tcW w:w="2254" w:type="dxa"/>
            <w:gridSpan w:val="2"/>
            <w:tcMar>
              <w:top w:w="0" w:type="dxa"/>
              <w:left w:w="108" w:type="dxa"/>
              <w:bottom w:w="0" w:type="dxa"/>
              <w:right w:w="108" w:type="dxa"/>
            </w:tcMar>
            <w:hideMark/>
          </w:tcPr>
          <w:p w:rsidR="00CD292D" w:rsidRDefault="00CD292D">
            <w:r>
              <w:t>PN-EN 933-9</w:t>
            </w:r>
          </w:p>
        </w:tc>
        <w:tc>
          <w:tcPr>
            <w:tcW w:w="7480" w:type="dxa"/>
            <w:tcMar>
              <w:top w:w="0" w:type="dxa"/>
              <w:left w:w="108" w:type="dxa"/>
              <w:bottom w:w="0" w:type="dxa"/>
              <w:right w:w="108" w:type="dxa"/>
            </w:tcMar>
            <w:hideMark/>
          </w:tcPr>
          <w:p w:rsidR="00CD292D" w:rsidRDefault="00CD292D">
            <w:r>
              <w:t>Badania geometrycznych właściwości kruszyw – Część 9: Ocena zawartości drobnych cząstek – Badania błękitem metylenowym</w:t>
            </w:r>
          </w:p>
        </w:tc>
      </w:tr>
      <w:tr w:rsidR="00CD292D" w:rsidTr="00CD292D">
        <w:tc>
          <w:tcPr>
            <w:tcW w:w="614" w:type="dxa"/>
            <w:tcMar>
              <w:top w:w="0" w:type="dxa"/>
              <w:left w:w="108" w:type="dxa"/>
              <w:bottom w:w="0" w:type="dxa"/>
              <w:right w:w="108" w:type="dxa"/>
            </w:tcMar>
            <w:hideMark/>
          </w:tcPr>
          <w:p w:rsidR="00CD292D" w:rsidRDefault="00CD292D">
            <w:pPr>
              <w:jc w:val="right"/>
            </w:pPr>
            <w:r>
              <w:t>12.</w:t>
            </w:r>
          </w:p>
        </w:tc>
        <w:tc>
          <w:tcPr>
            <w:tcW w:w="2254" w:type="dxa"/>
            <w:gridSpan w:val="2"/>
            <w:tcMar>
              <w:top w:w="0" w:type="dxa"/>
              <w:left w:w="108" w:type="dxa"/>
              <w:bottom w:w="0" w:type="dxa"/>
              <w:right w:w="108" w:type="dxa"/>
            </w:tcMar>
            <w:hideMark/>
          </w:tcPr>
          <w:p w:rsidR="00CD292D" w:rsidRDefault="00CD292D">
            <w:r>
              <w:t>PN-EN 933-10</w:t>
            </w:r>
          </w:p>
        </w:tc>
        <w:tc>
          <w:tcPr>
            <w:tcW w:w="7480" w:type="dxa"/>
            <w:tcMar>
              <w:top w:w="0" w:type="dxa"/>
              <w:left w:w="108" w:type="dxa"/>
              <w:bottom w:w="0" w:type="dxa"/>
              <w:right w:w="108" w:type="dxa"/>
            </w:tcMar>
            <w:hideMark/>
          </w:tcPr>
          <w:p w:rsidR="00CD292D" w:rsidRDefault="00CD292D">
            <w:r>
              <w:t>Badania geometrycznych właściwości kruszyw – Część 10: Ocena zawartości drobnych cząstek – Uziarnienie wypełniaczy (przesiewanie w strumieniu powietrza)</w:t>
            </w:r>
          </w:p>
        </w:tc>
      </w:tr>
      <w:tr w:rsidR="00CD292D" w:rsidTr="00CD292D">
        <w:tc>
          <w:tcPr>
            <w:tcW w:w="614" w:type="dxa"/>
            <w:tcMar>
              <w:top w:w="0" w:type="dxa"/>
              <w:left w:w="108" w:type="dxa"/>
              <w:bottom w:w="0" w:type="dxa"/>
              <w:right w:w="108" w:type="dxa"/>
            </w:tcMar>
            <w:hideMark/>
          </w:tcPr>
          <w:p w:rsidR="00CD292D" w:rsidRDefault="00CD292D">
            <w:pPr>
              <w:jc w:val="right"/>
            </w:pPr>
            <w:r>
              <w:t>13.</w:t>
            </w:r>
          </w:p>
        </w:tc>
        <w:tc>
          <w:tcPr>
            <w:tcW w:w="2254" w:type="dxa"/>
            <w:gridSpan w:val="2"/>
            <w:tcMar>
              <w:top w:w="0" w:type="dxa"/>
              <w:left w:w="108" w:type="dxa"/>
              <w:bottom w:w="0" w:type="dxa"/>
              <w:right w:w="108" w:type="dxa"/>
            </w:tcMar>
            <w:hideMark/>
          </w:tcPr>
          <w:p w:rsidR="00CD292D" w:rsidRDefault="00CD292D">
            <w:r>
              <w:t>PN-EN 1097-2</w:t>
            </w:r>
          </w:p>
        </w:tc>
        <w:tc>
          <w:tcPr>
            <w:tcW w:w="7480" w:type="dxa"/>
            <w:tcMar>
              <w:top w:w="0" w:type="dxa"/>
              <w:left w:w="108" w:type="dxa"/>
              <w:bottom w:w="0" w:type="dxa"/>
              <w:right w:w="108" w:type="dxa"/>
            </w:tcMar>
            <w:hideMark/>
          </w:tcPr>
          <w:p w:rsidR="00CD292D" w:rsidRDefault="00CD292D">
            <w:r>
              <w:t>Badania mechanicznych i fizycznych właściwości kruszyw – Metody oznaczania odporności na rozdrabnianie</w:t>
            </w:r>
          </w:p>
        </w:tc>
      </w:tr>
      <w:tr w:rsidR="00CD292D" w:rsidTr="00CD292D">
        <w:tc>
          <w:tcPr>
            <w:tcW w:w="614" w:type="dxa"/>
            <w:tcMar>
              <w:top w:w="0" w:type="dxa"/>
              <w:left w:w="108" w:type="dxa"/>
              <w:bottom w:w="0" w:type="dxa"/>
              <w:right w:w="108" w:type="dxa"/>
            </w:tcMar>
            <w:hideMark/>
          </w:tcPr>
          <w:p w:rsidR="00CD292D" w:rsidRDefault="00CD292D">
            <w:pPr>
              <w:jc w:val="right"/>
            </w:pPr>
            <w:r>
              <w:t>14.</w:t>
            </w:r>
          </w:p>
        </w:tc>
        <w:tc>
          <w:tcPr>
            <w:tcW w:w="2254" w:type="dxa"/>
            <w:gridSpan w:val="2"/>
            <w:tcMar>
              <w:top w:w="0" w:type="dxa"/>
              <w:left w:w="108" w:type="dxa"/>
              <w:bottom w:w="0" w:type="dxa"/>
              <w:right w:w="108" w:type="dxa"/>
            </w:tcMar>
            <w:hideMark/>
          </w:tcPr>
          <w:p w:rsidR="00CD292D" w:rsidRDefault="00CD292D">
            <w:r>
              <w:t>PN-EN 1097-4</w:t>
            </w:r>
          </w:p>
        </w:tc>
        <w:tc>
          <w:tcPr>
            <w:tcW w:w="7480" w:type="dxa"/>
            <w:tcMar>
              <w:top w:w="0" w:type="dxa"/>
              <w:left w:w="108" w:type="dxa"/>
              <w:bottom w:w="0" w:type="dxa"/>
              <w:right w:w="108" w:type="dxa"/>
            </w:tcMar>
            <w:hideMark/>
          </w:tcPr>
          <w:p w:rsidR="00CD292D" w:rsidRDefault="00CD292D">
            <w:r>
              <w:t>Badania mechanicznych i fizycznych właściwości kruszyw – Część 4: Oznaczanie pustych przestrzeni suchego, zagęszczonego wypełniacza</w:t>
            </w:r>
          </w:p>
        </w:tc>
      </w:tr>
      <w:tr w:rsidR="00CD292D" w:rsidTr="00CD292D">
        <w:tc>
          <w:tcPr>
            <w:tcW w:w="614" w:type="dxa"/>
            <w:tcMar>
              <w:top w:w="0" w:type="dxa"/>
              <w:left w:w="108" w:type="dxa"/>
              <w:bottom w:w="0" w:type="dxa"/>
              <w:right w:w="108" w:type="dxa"/>
            </w:tcMar>
            <w:hideMark/>
          </w:tcPr>
          <w:p w:rsidR="00CD292D" w:rsidRDefault="00CD292D">
            <w:pPr>
              <w:jc w:val="right"/>
            </w:pPr>
            <w:r>
              <w:t>15.</w:t>
            </w:r>
          </w:p>
        </w:tc>
        <w:tc>
          <w:tcPr>
            <w:tcW w:w="2254" w:type="dxa"/>
            <w:gridSpan w:val="2"/>
            <w:tcMar>
              <w:top w:w="0" w:type="dxa"/>
              <w:left w:w="108" w:type="dxa"/>
              <w:bottom w:w="0" w:type="dxa"/>
              <w:right w:w="108" w:type="dxa"/>
            </w:tcMar>
            <w:hideMark/>
          </w:tcPr>
          <w:p w:rsidR="00CD292D" w:rsidRDefault="00CD292D">
            <w:r>
              <w:t>PN-EN 1097-5</w:t>
            </w:r>
          </w:p>
        </w:tc>
        <w:tc>
          <w:tcPr>
            <w:tcW w:w="7480" w:type="dxa"/>
            <w:tcMar>
              <w:top w:w="0" w:type="dxa"/>
              <w:left w:w="108" w:type="dxa"/>
              <w:bottom w:w="0" w:type="dxa"/>
              <w:right w:w="108" w:type="dxa"/>
            </w:tcMar>
            <w:hideMark/>
          </w:tcPr>
          <w:p w:rsidR="00CD292D" w:rsidRDefault="00CD292D">
            <w:r>
              <w:t>Badania mechanicznych i fizycznych właściwości kruszyw – Część 5: Oznaczanie zawartości wody przez suszenie w suszarce z wentylacją</w:t>
            </w:r>
          </w:p>
        </w:tc>
      </w:tr>
      <w:tr w:rsidR="00CD292D" w:rsidTr="00CD292D">
        <w:tc>
          <w:tcPr>
            <w:tcW w:w="614" w:type="dxa"/>
            <w:tcMar>
              <w:top w:w="0" w:type="dxa"/>
              <w:left w:w="108" w:type="dxa"/>
              <w:bottom w:w="0" w:type="dxa"/>
              <w:right w:w="108" w:type="dxa"/>
            </w:tcMar>
            <w:hideMark/>
          </w:tcPr>
          <w:p w:rsidR="00CD292D" w:rsidRDefault="00CD292D">
            <w:pPr>
              <w:jc w:val="right"/>
            </w:pPr>
            <w:r>
              <w:lastRenderedPageBreak/>
              <w:t>16.</w:t>
            </w:r>
          </w:p>
        </w:tc>
        <w:tc>
          <w:tcPr>
            <w:tcW w:w="2254" w:type="dxa"/>
            <w:gridSpan w:val="2"/>
            <w:tcMar>
              <w:top w:w="0" w:type="dxa"/>
              <w:left w:w="108" w:type="dxa"/>
              <w:bottom w:w="0" w:type="dxa"/>
              <w:right w:w="108" w:type="dxa"/>
            </w:tcMar>
            <w:hideMark/>
          </w:tcPr>
          <w:p w:rsidR="00CD292D" w:rsidRDefault="00CD292D">
            <w:r>
              <w:t>PN-EN 1097-6</w:t>
            </w:r>
          </w:p>
        </w:tc>
        <w:tc>
          <w:tcPr>
            <w:tcW w:w="7480" w:type="dxa"/>
            <w:tcMar>
              <w:top w:w="0" w:type="dxa"/>
              <w:left w:w="108" w:type="dxa"/>
              <w:bottom w:w="0" w:type="dxa"/>
              <w:right w:w="108" w:type="dxa"/>
            </w:tcMar>
            <w:hideMark/>
          </w:tcPr>
          <w:p w:rsidR="00CD292D" w:rsidRDefault="00CD292D">
            <w:r>
              <w:t>Badania mechanicznych i fizycznych właściwości kruszyw –Część 6: Oznaczanie gęstości ziarn i nasiąkliwości</w:t>
            </w:r>
          </w:p>
        </w:tc>
      </w:tr>
      <w:tr w:rsidR="00CD292D" w:rsidTr="00CD292D">
        <w:tc>
          <w:tcPr>
            <w:tcW w:w="614" w:type="dxa"/>
            <w:tcMar>
              <w:top w:w="0" w:type="dxa"/>
              <w:left w:w="108" w:type="dxa"/>
              <w:bottom w:w="0" w:type="dxa"/>
              <w:right w:w="108" w:type="dxa"/>
            </w:tcMar>
            <w:hideMark/>
          </w:tcPr>
          <w:p w:rsidR="00CD292D" w:rsidRDefault="00CD292D">
            <w:pPr>
              <w:jc w:val="right"/>
            </w:pPr>
            <w:r>
              <w:t>17.</w:t>
            </w:r>
          </w:p>
        </w:tc>
        <w:tc>
          <w:tcPr>
            <w:tcW w:w="2254" w:type="dxa"/>
            <w:gridSpan w:val="2"/>
            <w:tcMar>
              <w:top w:w="0" w:type="dxa"/>
              <w:left w:w="108" w:type="dxa"/>
              <w:bottom w:w="0" w:type="dxa"/>
              <w:right w:w="108" w:type="dxa"/>
            </w:tcMar>
            <w:hideMark/>
          </w:tcPr>
          <w:p w:rsidR="00CD292D" w:rsidRDefault="00CD292D">
            <w:r>
              <w:t>PN-EN 1097-7</w:t>
            </w:r>
          </w:p>
        </w:tc>
        <w:tc>
          <w:tcPr>
            <w:tcW w:w="7480" w:type="dxa"/>
            <w:tcMar>
              <w:top w:w="0" w:type="dxa"/>
              <w:left w:w="108" w:type="dxa"/>
              <w:bottom w:w="0" w:type="dxa"/>
              <w:right w:w="108" w:type="dxa"/>
            </w:tcMar>
            <w:hideMark/>
          </w:tcPr>
          <w:p w:rsidR="00CD292D" w:rsidRDefault="00CD292D">
            <w:r>
              <w:t>Badania mechanicznych i fizycznych właściwości kruszyw – Część 7: Oznaczanie gęstości wypełniacza – Metoda piknometryczna</w:t>
            </w:r>
          </w:p>
        </w:tc>
      </w:tr>
      <w:tr w:rsidR="00CD292D" w:rsidTr="00CD292D">
        <w:tc>
          <w:tcPr>
            <w:tcW w:w="614" w:type="dxa"/>
            <w:tcMar>
              <w:top w:w="0" w:type="dxa"/>
              <w:left w:w="108" w:type="dxa"/>
              <w:bottom w:w="0" w:type="dxa"/>
              <w:right w:w="108" w:type="dxa"/>
            </w:tcMar>
            <w:hideMark/>
          </w:tcPr>
          <w:p w:rsidR="00CD292D" w:rsidRDefault="00CD292D">
            <w:pPr>
              <w:jc w:val="right"/>
            </w:pPr>
            <w:r>
              <w:t>18.</w:t>
            </w:r>
          </w:p>
        </w:tc>
        <w:tc>
          <w:tcPr>
            <w:tcW w:w="2254" w:type="dxa"/>
            <w:gridSpan w:val="2"/>
            <w:tcMar>
              <w:top w:w="0" w:type="dxa"/>
              <w:left w:w="108" w:type="dxa"/>
              <w:bottom w:w="0" w:type="dxa"/>
              <w:right w:w="108" w:type="dxa"/>
            </w:tcMar>
            <w:hideMark/>
          </w:tcPr>
          <w:p w:rsidR="00CD292D" w:rsidRDefault="00CD292D">
            <w:r>
              <w:t>PN-EN 1367-1</w:t>
            </w:r>
          </w:p>
        </w:tc>
        <w:tc>
          <w:tcPr>
            <w:tcW w:w="7480" w:type="dxa"/>
            <w:tcMar>
              <w:top w:w="0" w:type="dxa"/>
              <w:left w:w="108" w:type="dxa"/>
              <w:bottom w:w="0" w:type="dxa"/>
              <w:right w:w="108" w:type="dxa"/>
            </w:tcMar>
            <w:hideMark/>
          </w:tcPr>
          <w:p w:rsidR="00CD292D" w:rsidRDefault="00CD292D">
            <w:r>
              <w:t>Badania właściwości cieplnych i odporności kruszyw na działanie czynników atmosferycznych – Część 1: Oznaczanie mrozoodporności</w:t>
            </w:r>
          </w:p>
        </w:tc>
      </w:tr>
      <w:tr w:rsidR="00CD292D" w:rsidTr="00CD292D">
        <w:tc>
          <w:tcPr>
            <w:tcW w:w="614" w:type="dxa"/>
            <w:tcMar>
              <w:top w:w="0" w:type="dxa"/>
              <w:left w:w="108" w:type="dxa"/>
              <w:bottom w:w="0" w:type="dxa"/>
              <w:right w:w="108" w:type="dxa"/>
            </w:tcMar>
            <w:hideMark/>
          </w:tcPr>
          <w:p w:rsidR="00CD292D" w:rsidRDefault="00CD292D">
            <w:pPr>
              <w:jc w:val="right"/>
            </w:pPr>
            <w:r>
              <w:t>19.</w:t>
            </w:r>
          </w:p>
        </w:tc>
        <w:tc>
          <w:tcPr>
            <w:tcW w:w="2254" w:type="dxa"/>
            <w:gridSpan w:val="2"/>
            <w:tcMar>
              <w:top w:w="0" w:type="dxa"/>
              <w:left w:w="108" w:type="dxa"/>
              <w:bottom w:w="0" w:type="dxa"/>
              <w:right w:w="108" w:type="dxa"/>
            </w:tcMar>
            <w:hideMark/>
          </w:tcPr>
          <w:p w:rsidR="00CD292D" w:rsidRDefault="00CD292D">
            <w:r>
              <w:t>PN-EN 1367-3</w:t>
            </w:r>
          </w:p>
        </w:tc>
        <w:tc>
          <w:tcPr>
            <w:tcW w:w="7480" w:type="dxa"/>
            <w:tcMar>
              <w:top w:w="0" w:type="dxa"/>
              <w:left w:w="108" w:type="dxa"/>
              <w:bottom w:w="0" w:type="dxa"/>
              <w:right w:w="108" w:type="dxa"/>
            </w:tcMar>
            <w:hideMark/>
          </w:tcPr>
          <w:p w:rsidR="00CD292D" w:rsidRDefault="00CD292D">
            <w:r>
              <w:t>Badania właściwości cieplnych i odporności kruszyw na działanie czynników atmosferycznych – Część 3: Badanie bazaltowej zgorzeli słonecznej metodą gotowania</w:t>
            </w:r>
          </w:p>
        </w:tc>
      </w:tr>
      <w:tr w:rsidR="00CD292D" w:rsidTr="00CD292D">
        <w:tc>
          <w:tcPr>
            <w:tcW w:w="614" w:type="dxa"/>
            <w:tcMar>
              <w:top w:w="0" w:type="dxa"/>
              <w:left w:w="108" w:type="dxa"/>
              <w:bottom w:w="0" w:type="dxa"/>
              <w:right w:w="108" w:type="dxa"/>
            </w:tcMar>
            <w:hideMark/>
          </w:tcPr>
          <w:p w:rsidR="00CD292D" w:rsidRDefault="00CD292D">
            <w:pPr>
              <w:jc w:val="right"/>
            </w:pPr>
            <w:r>
              <w:t>20.</w:t>
            </w:r>
          </w:p>
        </w:tc>
        <w:tc>
          <w:tcPr>
            <w:tcW w:w="2254" w:type="dxa"/>
            <w:gridSpan w:val="2"/>
            <w:tcMar>
              <w:top w:w="0" w:type="dxa"/>
              <w:left w:w="108" w:type="dxa"/>
              <w:bottom w:w="0" w:type="dxa"/>
              <w:right w:w="108" w:type="dxa"/>
            </w:tcMar>
            <w:hideMark/>
          </w:tcPr>
          <w:p w:rsidR="00CD292D" w:rsidRDefault="00CD292D">
            <w:r>
              <w:t>PN-EN 1426</w:t>
            </w:r>
          </w:p>
        </w:tc>
        <w:tc>
          <w:tcPr>
            <w:tcW w:w="7480" w:type="dxa"/>
            <w:tcMar>
              <w:top w:w="0" w:type="dxa"/>
              <w:left w:w="108" w:type="dxa"/>
              <w:bottom w:w="0" w:type="dxa"/>
              <w:right w:w="108" w:type="dxa"/>
            </w:tcMar>
            <w:hideMark/>
          </w:tcPr>
          <w:p w:rsidR="00CD292D" w:rsidRDefault="00CD292D">
            <w:r>
              <w:t>Asfalty i produkty asfaltowe – Oznaczanie penetracji igłą</w:t>
            </w:r>
          </w:p>
        </w:tc>
      </w:tr>
      <w:tr w:rsidR="00CD292D" w:rsidTr="00CD292D">
        <w:tc>
          <w:tcPr>
            <w:tcW w:w="614" w:type="dxa"/>
            <w:tcMar>
              <w:top w:w="0" w:type="dxa"/>
              <w:left w:w="108" w:type="dxa"/>
              <w:bottom w:w="0" w:type="dxa"/>
              <w:right w:w="108" w:type="dxa"/>
            </w:tcMar>
            <w:hideMark/>
          </w:tcPr>
          <w:p w:rsidR="00CD292D" w:rsidRDefault="00CD292D">
            <w:pPr>
              <w:jc w:val="right"/>
            </w:pPr>
            <w:r>
              <w:t>21.</w:t>
            </w:r>
          </w:p>
        </w:tc>
        <w:tc>
          <w:tcPr>
            <w:tcW w:w="2254" w:type="dxa"/>
            <w:gridSpan w:val="2"/>
            <w:tcMar>
              <w:top w:w="0" w:type="dxa"/>
              <w:left w:w="108" w:type="dxa"/>
              <w:bottom w:w="0" w:type="dxa"/>
              <w:right w:w="108" w:type="dxa"/>
            </w:tcMar>
            <w:hideMark/>
          </w:tcPr>
          <w:p w:rsidR="00CD292D" w:rsidRDefault="00CD292D">
            <w:r>
              <w:t>PN-EN 1427</w:t>
            </w:r>
          </w:p>
        </w:tc>
        <w:tc>
          <w:tcPr>
            <w:tcW w:w="7480" w:type="dxa"/>
            <w:tcMar>
              <w:top w:w="0" w:type="dxa"/>
              <w:left w:w="108" w:type="dxa"/>
              <w:bottom w:w="0" w:type="dxa"/>
              <w:right w:w="108" w:type="dxa"/>
            </w:tcMar>
            <w:hideMark/>
          </w:tcPr>
          <w:p w:rsidR="00CD292D" w:rsidRDefault="00CD292D">
            <w:r>
              <w:t>Asfalty i produkty asfaltowe – Oznaczanie temperatury mięknienia – Metoda Pierścień i Kula</w:t>
            </w:r>
          </w:p>
        </w:tc>
      </w:tr>
      <w:tr w:rsidR="00CD292D" w:rsidTr="00CD292D">
        <w:tc>
          <w:tcPr>
            <w:tcW w:w="614" w:type="dxa"/>
            <w:tcMar>
              <w:top w:w="0" w:type="dxa"/>
              <w:left w:w="108" w:type="dxa"/>
              <w:bottom w:w="0" w:type="dxa"/>
              <w:right w:w="108" w:type="dxa"/>
            </w:tcMar>
            <w:hideMark/>
          </w:tcPr>
          <w:p w:rsidR="00CD292D" w:rsidRDefault="00CD292D">
            <w:pPr>
              <w:jc w:val="right"/>
            </w:pPr>
            <w:r>
              <w:t>22.</w:t>
            </w:r>
          </w:p>
        </w:tc>
        <w:tc>
          <w:tcPr>
            <w:tcW w:w="2254" w:type="dxa"/>
            <w:gridSpan w:val="2"/>
            <w:tcMar>
              <w:top w:w="0" w:type="dxa"/>
              <w:left w:w="108" w:type="dxa"/>
              <w:bottom w:w="0" w:type="dxa"/>
              <w:right w:w="108" w:type="dxa"/>
            </w:tcMar>
            <w:hideMark/>
          </w:tcPr>
          <w:p w:rsidR="00CD292D" w:rsidRDefault="00CD292D">
            <w:r>
              <w:t>PN-EN 1744-1</w:t>
            </w:r>
          </w:p>
        </w:tc>
        <w:tc>
          <w:tcPr>
            <w:tcW w:w="7480" w:type="dxa"/>
            <w:tcMar>
              <w:top w:w="0" w:type="dxa"/>
              <w:left w:w="108" w:type="dxa"/>
              <w:bottom w:w="0" w:type="dxa"/>
              <w:right w:w="108" w:type="dxa"/>
            </w:tcMar>
            <w:hideMark/>
          </w:tcPr>
          <w:p w:rsidR="00CD292D" w:rsidRDefault="00CD292D">
            <w:r>
              <w:t>Badania chemicznych właściwości kruszyw – Analiza chemiczna</w:t>
            </w:r>
          </w:p>
        </w:tc>
      </w:tr>
      <w:tr w:rsidR="00CD292D" w:rsidTr="00CD292D">
        <w:tc>
          <w:tcPr>
            <w:tcW w:w="614" w:type="dxa"/>
            <w:tcMar>
              <w:top w:w="0" w:type="dxa"/>
              <w:left w:w="108" w:type="dxa"/>
              <w:bottom w:w="0" w:type="dxa"/>
              <w:right w:w="108" w:type="dxa"/>
            </w:tcMar>
            <w:hideMark/>
          </w:tcPr>
          <w:p w:rsidR="00CD292D" w:rsidRDefault="00CD292D">
            <w:pPr>
              <w:jc w:val="right"/>
            </w:pPr>
            <w:r>
              <w:t>23.</w:t>
            </w:r>
          </w:p>
        </w:tc>
        <w:tc>
          <w:tcPr>
            <w:tcW w:w="2254" w:type="dxa"/>
            <w:gridSpan w:val="2"/>
            <w:tcMar>
              <w:top w:w="0" w:type="dxa"/>
              <w:left w:w="108" w:type="dxa"/>
              <w:bottom w:w="0" w:type="dxa"/>
              <w:right w:w="108" w:type="dxa"/>
            </w:tcMar>
            <w:hideMark/>
          </w:tcPr>
          <w:p w:rsidR="00CD292D" w:rsidRDefault="00CD292D">
            <w:r>
              <w:t>PN-EN 12591</w:t>
            </w:r>
          </w:p>
        </w:tc>
        <w:tc>
          <w:tcPr>
            <w:tcW w:w="7480" w:type="dxa"/>
            <w:tcMar>
              <w:top w:w="0" w:type="dxa"/>
              <w:left w:w="108" w:type="dxa"/>
              <w:bottom w:w="0" w:type="dxa"/>
              <w:right w:w="108" w:type="dxa"/>
            </w:tcMar>
            <w:hideMark/>
          </w:tcPr>
          <w:p w:rsidR="00CD292D" w:rsidRDefault="00CD292D">
            <w:r>
              <w:t>Asfalty i produkty asfaltowe – Wymagania dla asfaltów drogowych</w:t>
            </w:r>
          </w:p>
        </w:tc>
      </w:tr>
      <w:tr w:rsidR="00CD292D" w:rsidTr="00CD292D">
        <w:tc>
          <w:tcPr>
            <w:tcW w:w="614" w:type="dxa"/>
            <w:tcMar>
              <w:top w:w="0" w:type="dxa"/>
              <w:left w:w="108" w:type="dxa"/>
              <w:bottom w:w="0" w:type="dxa"/>
              <w:right w:w="108" w:type="dxa"/>
            </w:tcMar>
            <w:hideMark/>
          </w:tcPr>
          <w:p w:rsidR="00CD292D" w:rsidRDefault="00CD292D">
            <w:pPr>
              <w:jc w:val="right"/>
            </w:pPr>
            <w:r>
              <w:t>24.</w:t>
            </w:r>
          </w:p>
        </w:tc>
        <w:tc>
          <w:tcPr>
            <w:tcW w:w="2254" w:type="dxa"/>
            <w:gridSpan w:val="2"/>
            <w:tcMar>
              <w:top w:w="0" w:type="dxa"/>
              <w:left w:w="108" w:type="dxa"/>
              <w:bottom w:w="0" w:type="dxa"/>
              <w:right w:w="108" w:type="dxa"/>
            </w:tcMar>
            <w:hideMark/>
          </w:tcPr>
          <w:p w:rsidR="00CD292D" w:rsidRDefault="00CD292D">
            <w:r>
              <w:t>PN-EN 12592</w:t>
            </w:r>
          </w:p>
        </w:tc>
        <w:tc>
          <w:tcPr>
            <w:tcW w:w="7480" w:type="dxa"/>
            <w:tcMar>
              <w:top w:w="0" w:type="dxa"/>
              <w:left w:w="108" w:type="dxa"/>
              <w:bottom w:w="0" w:type="dxa"/>
              <w:right w:w="108" w:type="dxa"/>
            </w:tcMar>
            <w:hideMark/>
          </w:tcPr>
          <w:p w:rsidR="00CD292D" w:rsidRDefault="00CD292D">
            <w:r>
              <w:t>Asfalty i produkty asfaltowe – Oznaczanie rozpuszczalności</w:t>
            </w:r>
          </w:p>
        </w:tc>
      </w:tr>
      <w:tr w:rsidR="00CD292D" w:rsidTr="00CD292D">
        <w:tc>
          <w:tcPr>
            <w:tcW w:w="614" w:type="dxa"/>
            <w:tcMar>
              <w:top w:w="0" w:type="dxa"/>
              <w:left w:w="108" w:type="dxa"/>
              <w:bottom w:w="0" w:type="dxa"/>
              <w:right w:w="108" w:type="dxa"/>
            </w:tcMar>
            <w:hideMark/>
          </w:tcPr>
          <w:p w:rsidR="00CD292D" w:rsidRDefault="00CD292D">
            <w:pPr>
              <w:jc w:val="right"/>
            </w:pPr>
            <w:r>
              <w:t>25.</w:t>
            </w:r>
          </w:p>
        </w:tc>
        <w:tc>
          <w:tcPr>
            <w:tcW w:w="2254" w:type="dxa"/>
            <w:gridSpan w:val="2"/>
            <w:tcMar>
              <w:top w:w="0" w:type="dxa"/>
              <w:left w:w="108" w:type="dxa"/>
              <w:bottom w:w="0" w:type="dxa"/>
              <w:right w:w="108" w:type="dxa"/>
            </w:tcMar>
            <w:hideMark/>
          </w:tcPr>
          <w:p w:rsidR="00CD292D" w:rsidRDefault="00CD292D">
            <w:r>
              <w:t>PN-EN 12593</w:t>
            </w:r>
          </w:p>
        </w:tc>
        <w:tc>
          <w:tcPr>
            <w:tcW w:w="7480" w:type="dxa"/>
            <w:tcMar>
              <w:top w:w="0" w:type="dxa"/>
              <w:left w:w="108" w:type="dxa"/>
              <w:bottom w:w="0" w:type="dxa"/>
              <w:right w:w="108" w:type="dxa"/>
            </w:tcMar>
            <w:hideMark/>
          </w:tcPr>
          <w:p w:rsidR="00CD292D" w:rsidRDefault="00CD292D">
            <w:r>
              <w:t>Asfalty i produkty asfaltowe – Oznaczanie temperatury łamliwości Fraassa</w:t>
            </w:r>
          </w:p>
        </w:tc>
      </w:tr>
      <w:tr w:rsidR="00CD292D" w:rsidTr="00CD292D">
        <w:tc>
          <w:tcPr>
            <w:tcW w:w="614" w:type="dxa"/>
            <w:tcMar>
              <w:top w:w="0" w:type="dxa"/>
              <w:left w:w="108" w:type="dxa"/>
              <w:bottom w:w="0" w:type="dxa"/>
              <w:right w:w="108" w:type="dxa"/>
            </w:tcMar>
            <w:hideMark/>
          </w:tcPr>
          <w:p w:rsidR="00CD292D" w:rsidRDefault="00CD292D">
            <w:pPr>
              <w:jc w:val="right"/>
            </w:pPr>
            <w:r>
              <w:t>26.</w:t>
            </w:r>
          </w:p>
        </w:tc>
        <w:tc>
          <w:tcPr>
            <w:tcW w:w="2254" w:type="dxa"/>
            <w:gridSpan w:val="2"/>
            <w:tcMar>
              <w:top w:w="0" w:type="dxa"/>
              <w:left w:w="108" w:type="dxa"/>
              <w:bottom w:w="0" w:type="dxa"/>
              <w:right w:w="108" w:type="dxa"/>
            </w:tcMar>
            <w:hideMark/>
          </w:tcPr>
          <w:p w:rsidR="00CD292D" w:rsidRDefault="00CD292D">
            <w:r>
              <w:t>PN-EN 12595</w:t>
            </w:r>
          </w:p>
        </w:tc>
        <w:tc>
          <w:tcPr>
            <w:tcW w:w="7480" w:type="dxa"/>
            <w:tcMar>
              <w:top w:w="0" w:type="dxa"/>
              <w:left w:w="108" w:type="dxa"/>
              <w:bottom w:w="0" w:type="dxa"/>
              <w:right w:w="108" w:type="dxa"/>
            </w:tcMar>
            <w:hideMark/>
          </w:tcPr>
          <w:p w:rsidR="00CD292D" w:rsidRDefault="00CD292D">
            <w:r>
              <w:t>Asfalty i lepiszcza asfaltowe - Oznaczanie lepkości kinematycznej</w:t>
            </w:r>
          </w:p>
        </w:tc>
      </w:tr>
      <w:tr w:rsidR="00CD292D" w:rsidTr="00CD292D">
        <w:tc>
          <w:tcPr>
            <w:tcW w:w="614" w:type="dxa"/>
            <w:tcMar>
              <w:top w:w="0" w:type="dxa"/>
              <w:left w:w="108" w:type="dxa"/>
              <w:bottom w:w="0" w:type="dxa"/>
              <w:right w:w="108" w:type="dxa"/>
            </w:tcMar>
            <w:hideMark/>
          </w:tcPr>
          <w:p w:rsidR="00CD292D" w:rsidRDefault="00CD292D">
            <w:pPr>
              <w:jc w:val="right"/>
            </w:pPr>
            <w:r>
              <w:t>27.</w:t>
            </w:r>
          </w:p>
        </w:tc>
        <w:tc>
          <w:tcPr>
            <w:tcW w:w="2254" w:type="dxa"/>
            <w:gridSpan w:val="2"/>
            <w:tcMar>
              <w:top w:w="0" w:type="dxa"/>
              <w:left w:w="108" w:type="dxa"/>
              <w:bottom w:w="0" w:type="dxa"/>
              <w:right w:w="108" w:type="dxa"/>
            </w:tcMar>
            <w:hideMark/>
          </w:tcPr>
          <w:p w:rsidR="00CD292D" w:rsidRDefault="00CD292D">
            <w:r>
              <w:t>PN-EN 12596</w:t>
            </w:r>
          </w:p>
        </w:tc>
        <w:tc>
          <w:tcPr>
            <w:tcW w:w="7480" w:type="dxa"/>
            <w:tcMar>
              <w:top w:w="0" w:type="dxa"/>
              <w:left w:w="108" w:type="dxa"/>
              <w:bottom w:w="0" w:type="dxa"/>
              <w:right w:w="108" w:type="dxa"/>
            </w:tcMar>
            <w:hideMark/>
          </w:tcPr>
          <w:p w:rsidR="00CD292D" w:rsidRDefault="00CD292D">
            <w:r>
              <w:t>Asfalty i lepiszcza asfaltowe - Oznaczanie lepkości dynamicznej metodą próżniowej kapilary</w:t>
            </w:r>
          </w:p>
        </w:tc>
      </w:tr>
      <w:tr w:rsidR="00CD292D" w:rsidTr="00CD292D">
        <w:tc>
          <w:tcPr>
            <w:tcW w:w="614" w:type="dxa"/>
            <w:tcMar>
              <w:top w:w="0" w:type="dxa"/>
              <w:left w:w="108" w:type="dxa"/>
              <w:bottom w:w="0" w:type="dxa"/>
              <w:right w:w="108" w:type="dxa"/>
            </w:tcMar>
            <w:hideMark/>
          </w:tcPr>
          <w:p w:rsidR="00CD292D" w:rsidRDefault="00CD292D">
            <w:pPr>
              <w:jc w:val="right"/>
            </w:pPr>
            <w:r>
              <w:t>28.</w:t>
            </w:r>
          </w:p>
        </w:tc>
        <w:tc>
          <w:tcPr>
            <w:tcW w:w="2254" w:type="dxa"/>
            <w:gridSpan w:val="2"/>
            <w:tcMar>
              <w:top w:w="0" w:type="dxa"/>
              <w:left w:w="108" w:type="dxa"/>
              <w:bottom w:w="0" w:type="dxa"/>
              <w:right w:w="108" w:type="dxa"/>
            </w:tcMar>
            <w:hideMark/>
          </w:tcPr>
          <w:p w:rsidR="00CD292D" w:rsidRDefault="00CD292D">
            <w:r>
              <w:t>PN-EN 12606-1</w:t>
            </w:r>
          </w:p>
        </w:tc>
        <w:tc>
          <w:tcPr>
            <w:tcW w:w="7480" w:type="dxa"/>
            <w:tcMar>
              <w:top w:w="0" w:type="dxa"/>
              <w:left w:w="108" w:type="dxa"/>
              <w:bottom w:w="0" w:type="dxa"/>
              <w:right w:w="108" w:type="dxa"/>
            </w:tcMar>
            <w:hideMark/>
          </w:tcPr>
          <w:p w:rsidR="00CD292D" w:rsidRDefault="00CD292D">
            <w:r>
              <w:t>Asfalty i produkty asfaltowe – Oznaczanie zawartości parafiny – Część 1: Metoda destylacji</w:t>
            </w:r>
          </w:p>
        </w:tc>
      </w:tr>
      <w:tr w:rsidR="00CD292D" w:rsidTr="00CD292D">
        <w:tc>
          <w:tcPr>
            <w:tcW w:w="614" w:type="dxa"/>
            <w:tcMar>
              <w:top w:w="0" w:type="dxa"/>
              <w:left w:w="108" w:type="dxa"/>
              <w:bottom w:w="0" w:type="dxa"/>
              <w:right w:w="108" w:type="dxa"/>
            </w:tcMar>
            <w:hideMark/>
          </w:tcPr>
          <w:p w:rsidR="00CD292D" w:rsidRDefault="00CD292D">
            <w:pPr>
              <w:jc w:val="right"/>
            </w:pPr>
            <w:r>
              <w:t>29.</w:t>
            </w:r>
          </w:p>
        </w:tc>
        <w:tc>
          <w:tcPr>
            <w:tcW w:w="2254" w:type="dxa"/>
            <w:gridSpan w:val="2"/>
            <w:tcMar>
              <w:top w:w="0" w:type="dxa"/>
              <w:left w:w="108" w:type="dxa"/>
              <w:bottom w:w="0" w:type="dxa"/>
              <w:right w:w="108" w:type="dxa"/>
            </w:tcMar>
            <w:hideMark/>
          </w:tcPr>
          <w:p w:rsidR="00CD292D" w:rsidRDefault="00CD292D">
            <w:r>
              <w:t>PN-EN 12607-1</w:t>
            </w:r>
          </w:p>
        </w:tc>
        <w:tc>
          <w:tcPr>
            <w:tcW w:w="7480" w:type="dxa"/>
            <w:tcMar>
              <w:top w:w="0" w:type="dxa"/>
              <w:left w:w="108" w:type="dxa"/>
              <w:bottom w:w="0" w:type="dxa"/>
              <w:right w:w="108" w:type="dxa"/>
            </w:tcMar>
            <w:hideMark/>
          </w:tcPr>
          <w:p w:rsidR="00CD292D" w:rsidRDefault="00CD292D">
            <w:r>
              <w:t xml:space="preserve">Asfalty i produkty asfaltowe – Oznaczanie odporności na twardnienie pod wpływem ciepła i powietrza – Część 1: Metoda RTFOT </w:t>
            </w:r>
          </w:p>
        </w:tc>
      </w:tr>
      <w:tr w:rsidR="00CD292D" w:rsidTr="00CD292D">
        <w:tc>
          <w:tcPr>
            <w:tcW w:w="614" w:type="dxa"/>
            <w:tcMar>
              <w:top w:w="0" w:type="dxa"/>
              <w:left w:w="108" w:type="dxa"/>
              <w:bottom w:w="0" w:type="dxa"/>
              <w:right w:w="108" w:type="dxa"/>
            </w:tcMar>
            <w:hideMark/>
          </w:tcPr>
          <w:p w:rsidR="00CD292D" w:rsidRDefault="00CD292D">
            <w:pPr>
              <w:jc w:val="right"/>
            </w:pPr>
            <w:r>
              <w:t>30.</w:t>
            </w:r>
          </w:p>
        </w:tc>
        <w:tc>
          <w:tcPr>
            <w:tcW w:w="2254" w:type="dxa"/>
            <w:gridSpan w:val="2"/>
            <w:tcMar>
              <w:top w:w="0" w:type="dxa"/>
              <w:left w:w="108" w:type="dxa"/>
              <w:bottom w:w="0" w:type="dxa"/>
              <w:right w:w="108" w:type="dxa"/>
            </w:tcMar>
            <w:hideMark/>
          </w:tcPr>
          <w:p w:rsidR="00CD292D" w:rsidRDefault="00CD292D">
            <w:r>
              <w:t>PN-EN 12607-3</w:t>
            </w:r>
          </w:p>
        </w:tc>
        <w:tc>
          <w:tcPr>
            <w:tcW w:w="7480" w:type="dxa"/>
            <w:tcMar>
              <w:top w:w="0" w:type="dxa"/>
              <w:left w:w="108" w:type="dxa"/>
              <w:bottom w:w="0" w:type="dxa"/>
              <w:right w:w="108" w:type="dxa"/>
            </w:tcMar>
            <w:hideMark/>
          </w:tcPr>
          <w:p w:rsidR="00CD292D" w:rsidRDefault="00CD292D">
            <w:r>
              <w:t>Asfalty i produkty asfaltowe – Oznaczanie odporności na twardnienie pod wpływem ciepła i powietrza – Część 3: Metoda RFT</w:t>
            </w:r>
          </w:p>
        </w:tc>
      </w:tr>
      <w:tr w:rsidR="00CD292D" w:rsidTr="00CD292D">
        <w:tc>
          <w:tcPr>
            <w:tcW w:w="614" w:type="dxa"/>
            <w:tcMar>
              <w:top w:w="0" w:type="dxa"/>
              <w:left w:w="108" w:type="dxa"/>
              <w:bottom w:w="0" w:type="dxa"/>
              <w:right w:w="108" w:type="dxa"/>
            </w:tcMar>
            <w:hideMark/>
          </w:tcPr>
          <w:p w:rsidR="00CD292D" w:rsidRDefault="00CD292D">
            <w:pPr>
              <w:jc w:val="right"/>
            </w:pPr>
            <w:r>
              <w:t>31.</w:t>
            </w:r>
          </w:p>
        </w:tc>
        <w:tc>
          <w:tcPr>
            <w:tcW w:w="2254" w:type="dxa"/>
            <w:gridSpan w:val="2"/>
            <w:tcMar>
              <w:top w:w="0" w:type="dxa"/>
              <w:left w:w="108" w:type="dxa"/>
              <w:bottom w:w="0" w:type="dxa"/>
              <w:right w:w="108" w:type="dxa"/>
            </w:tcMar>
            <w:hideMark/>
          </w:tcPr>
          <w:p w:rsidR="00CD292D" w:rsidRDefault="00CD292D">
            <w:r>
              <w:t>PN-EN 12697-1</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1: Zawartość lepiszcza rozpuszczalnego</w:t>
            </w:r>
          </w:p>
        </w:tc>
      </w:tr>
      <w:tr w:rsidR="00CD292D" w:rsidTr="00CD292D">
        <w:tc>
          <w:tcPr>
            <w:tcW w:w="614" w:type="dxa"/>
            <w:tcMar>
              <w:top w:w="0" w:type="dxa"/>
              <w:left w:w="108" w:type="dxa"/>
              <w:bottom w:w="0" w:type="dxa"/>
              <w:right w:w="108" w:type="dxa"/>
            </w:tcMar>
            <w:hideMark/>
          </w:tcPr>
          <w:p w:rsidR="00CD292D" w:rsidRDefault="00CD292D">
            <w:pPr>
              <w:jc w:val="right"/>
            </w:pPr>
            <w:r>
              <w:t>32.</w:t>
            </w:r>
          </w:p>
        </w:tc>
        <w:tc>
          <w:tcPr>
            <w:tcW w:w="2254" w:type="dxa"/>
            <w:gridSpan w:val="2"/>
            <w:tcMar>
              <w:top w:w="0" w:type="dxa"/>
              <w:left w:w="108" w:type="dxa"/>
              <w:bottom w:w="0" w:type="dxa"/>
              <w:right w:w="108" w:type="dxa"/>
            </w:tcMar>
            <w:hideMark/>
          </w:tcPr>
          <w:p w:rsidR="00CD292D" w:rsidRDefault="00CD292D">
            <w:r>
              <w:t>PN-EN 12697-2</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2: Oznaczanie składu ziarnowego</w:t>
            </w:r>
          </w:p>
        </w:tc>
      </w:tr>
      <w:tr w:rsidR="00CD292D" w:rsidTr="00CD292D">
        <w:tc>
          <w:tcPr>
            <w:tcW w:w="614" w:type="dxa"/>
            <w:tcMar>
              <w:top w:w="0" w:type="dxa"/>
              <w:left w:w="108" w:type="dxa"/>
              <w:bottom w:w="0" w:type="dxa"/>
              <w:right w:w="108" w:type="dxa"/>
            </w:tcMar>
            <w:hideMark/>
          </w:tcPr>
          <w:p w:rsidR="00CD292D" w:rsidRDefault="00CD292D">
            <w:pPr>
              <w:jc w:val="right"/>
            </w:pPr>
            <w:r>
              <w:t>33.</w:t>
            </w:r>
          </w:p>
        </w:tc>
        <w:tc>
          <w:tcPr>
            <w:tcW w:w="2254" w:type="dxa"/>
            <w:gridSpan w:val="2"/>
            <w:tcMar>
              <w:top w:w="0" w:type="dxa"/>
              <w:left w:w="108" w:type="dxa"/>
              <w:bottom w:w="0" w:type="dxa"/>
              <w:right w:w="108" w:type="dxa"/>
            </w:tcMar>
            <w:hideMark/>
          </w:tcPr>
          <w:p w:rsidR="00CD292D" w:rsidRDefault="00CD292D">
            <w:r>
              <w:t>PN-EN 12697-3</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3: Odzyskiwanie asfaltu: Wyparka obrotowa</w:t>
            </w:r>
          </w:p>
        </w:tc>
      </w:tr>
      <w:tr w:rsidR="00CD292D" w:rsidTr="00CD292D">
        <w:tc>
          <w:tcPr>
            <w:tcW w:w="614" w:type="dxa"/>
            <w:tcMar>
              <w:top w:w="0" w:type="dxa"/>
              <w:left w:w="108" w:type="dxa"/>
              <w:bottom w:w="0" w:type="dxa"/>
              <w:right w:w="108" w:type="dxa"/>
            </w:tcMar>
            <w:hideMark/>
          </w:tcPr>
          <w:p w:rsidR="00CD292D" w:rsidRDefault="00CD292D">
            <w:pPr>
              <w:jc w:val="right"/>
            </w:pPr>
            <w:r>
              <w:t>34.</w:t>
            </w:r>
          </w:p>
        </w:tc>
        <w:tc>
          <w:tcPr>
            <w:tcW w:w="2254" w:type="dxa"/>
            <w:gridSpan w:val="2"/>
            <w:tcMar>
              <w:top w:w="0" w:type="dxa"/>
              <w:left w:w="108" w:type="dxa"/>
              <w:bottom w:w="0" w:type="dxa"/>
              <w:right w:w="108" w:type="dxa"/>
            </w:tcMar>
            <w:hideMark/>
          </w:tcPr>
          <w:p w:rsidR="00CD292D" w:rsidRDefault="00CD292D">
            <w:r>
              <w:t>PN-EN 12697-4</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4: Odzyskiwanie asfaltu - Kolumna do destylacji frakcyjnej</w:t>
            </w:r>
          </w:p>
        </w:tc>
      </w:tr>
      <w:tr w:rsidR="00CD292D" w:rsidTr="00CD292D">
        <w:tc>
          <w:tcPr>
            <w:tcW w:w="614" w:type="dxa"/>
            <w:tcMar>
              <w:top w:w="0" w:type="dxa"/>
              <w:left w:w="108" w:type="dxa"/>
              <w:bottom w:w="0" w:type="dxa"/>
              <w:right w:w="108" w:type="dxa"/>
            </w:tcMar>
            <w:hideMark/>
          </w:tcPr>
          <w:p w:rsidR="00CD292D" w:rsidRDefault="00CD292D">
            <w:pPr>
              <w:jc w:val="right"/>
            </w:pPr>
            <w:r>
              <w:t>35.</w:t>
            </w:r>
          </w:p>
        </w:tc>
        <w:tc>
          <w:tcPr>
            <w:tcW w:w="2254" w:type="dxa"/>
            <w:gridSpan w:val="2"/>
            <w:tcMar>
              <w:top w:w="0" w:type="dxa"/>
              <w:left w:w="108" w:type="dxa"/>
              <w:bottom w:w="0" w:type="dxa"/>
              <w:right w:w="108" w:type="dxa"/>
            </w:tcMar>
            <w:hideMark/>
          </w:tcPr>
          <w:p w:rsidR="00CD292D" w:rsidRDefault="00CD292D">
            <w:r>
              <w:t>PN-EN 12697-5</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5: Oznaczanie gęstości</w:t>
            </w:r>
          </w:p>
        </w:tc>
      </w:tr>
      <w:tr w:rsidR="00CD292D" w:rsidTr="00CD292D">
        <w:tc>
          <w:tcPr>
            <w:tcW w:w="614" w:type="dxa"/>
            <w:tcMar>
              <w:top w:w="0" w:type="dxa"/>
              <w:left w:w="108" w:type="dxa"/>
              <w:bottom w:w="0" w:type="dxa"/>
              <w:right w:w="108" w:type="dxa"/>
            </w:tcMar>
            <w:hideMark/>
          </w:tcPr>
          <w:p w:rsidR="00CD292D" w:rsidRDefault="00CD292D">
            <w:pPr>
              <w:jc w:val="right"/>
            </w:pPr>
            <w:r>
              <w:lastRenderedPageBreak/>
              <w:t>36.</w:t>
            </w:r>
          </w:p>
        </w:tc>
        <w:tc>
          <w:tcPr>
            <w:tcW w:w="2254" w:type="dxa"/>
            <w:gridSpan w:val="2"/>
            <w:tcMar>
              <w:top w:w="0" w:type="dxa"/>
              <w:left w:w="108" w:type="dxa"/>
              <w:bottom w:w="0" w:type="dxa"/>
              <w:right w:w="108" w:type="dxa"/>
            </w:tcMar>
            <w:hideMark/>
          </w:tcPr>
          <w:p w:rsidR="00CD292D" w:rsidRDefault="00CD292D">
            <w:r>
              <w:t>PN-EN 12697-6</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6: Oznaczanie gęstości objętościowej próbek mieszanki mineralno-asfaltowej</w:t>
            </w:r>
          </w:p>
        </w:tc>
      </w:tr>
      <w:tr w:rsidR="00CD292D" w:rsidTr="00CD292D">
        <w:tc>
          <w:tcPr>
            <w:tcW w:w="614" w:type="dxa"/>
            <w:tcMar>
              <w:top w:w="0" w:type="dxa"/>
              <w:left w:w="108" w:type="dxa"/>
              <w:bottom w:w="0" w:type="dxa"/>
              <w:right w:w="108" w:type="dxa"/>
            </w:tcMar>
            <w:hideMark/>
          </w:tcPr>
          <w:p w:rsidR="00CD292D" w:rsidRDefault="00CD292D">
            <w:pPr>
              <w:jc w:val="right"/>
            </w:pPr>
            <w:r>
              <w:t>37.</w:t>
            </w:r>
          </w:p>
        </w:tc>
        <w:tc>
          <w:tcPr>
            <w:tcW w:w="2254" w:type="dxa"/>
            <w:gridSpan w:val="2"/>
            <w:tcMar>
              <w:top w:w="0" w:type="dxa"/>
              <w:left w:w="108" w:type="dxa"/>
              <w:bottom w:w="0" w:type="dxa"/>
              <w:right w:w="108" w:type="dxa"/>
            </w:tcMar>
            <w:hideMark/>
          </w:tcPr>
          <w:p w:rsidR="00CD292D" w:rsidRDefault="00CD292D">
            <w:r>
              <w:t>PN-EN 12697-8</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8: Oznaczanie zawartości wolnej przestrzeni</w:t>
            </w:r>
          </w:p>
        </w:tc>
      </w:tr>
      <w:tr w:rsidR="00CD292D" w:rsidTr="00CD292D">
        <w:tc>
          <w:tcPr>
            <w:tcW w:w="614" w:type="dxa"/>
            <w:tcMar>
              <w:top w:w="0" w:type="dxa"/>
              <w:left w:w="108" w:type="dxa"/>
              <w:bottom w:w="0" w:type="dxa"/>
              <w:right w:w="108" w:type="dxa"/>
            </w:tcMar>
            <w:hideMark/>
          </w:tcPr>
          <w:p w:rsidR="00CD292D" w:rsidRDefault="00CD292D">
            <w:pPr>
              <w:jc w:val="right"/>
            </w:pPr>
            <w:r>
              <w:t>38.</w:t>
            </w:r>
          </w:p>
        </w:tc>
        <w:tc>
          <w:tcPr>
            <w:tcW w:w="2254" w:type="dxa"/>
            <w:gridSpan w:val="2"/>
            <w:tcMar>
              <w:top w:w="0" w:type="dxa"/>
              <w:left w:w="108" w:type="dxa"/>
              <w:bottom w:w="0" w:type="dxa"/>
              <w:right w:w="108" w:type="dxa"/>
            </w:tcMar>
            <w:hideMark/>
          </w:tcPr>
          <w:p w:rsidR="00CD292D" w:rsidRDefault="00CD292D">
            <w:r>
              <w:t>PN-EN 12697-11</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11: Oznaczanie powinowactwa pomiędzy kruszywem i asfaltem</w:t>
            </w:r>
          </w:p>
        </w:tc>
      </w:tr>
      <w:tr w:rsidR="00CD292D" w:rsidTr="00CD292D">
        <w:tc>
          <w:tcPr>
            <w:tcW w:w="614" w:type="dxa"/>
            <w:tcMar>
              <w:top w:w="0" w:type="dxa"/>
              <w:left w:w="108" w:type="dxa"/>
              <w:bottom w:w="0" w:type="dxa"/>
              <w:right w:w="108" w:type="dxa"/>
            </w:tcMar>
            <w:hideMark/>
          </w:tcPr>
          <w:p w:rsidR="00CD292D" w:rsidRDefault="00CD292D">
            <w:pPr>
              <w:jc w:val="right"/>
            </w:pPr>
            <w:r>
              <w:t>39.</w:t>
            </w:r>
          </w:p>
        </w:tc>
        <w:tc>
          <w:tcPr>
            <w:tcW w:w="2254" w:type="dxa"/>
            <w:gridSpan w:val="2"/>
            <w:tcMar>
              <w:top w:w="0" w:type="dxa"/>
              <w:left w:w="108" w:type="dxa"/>
              <w:bottom w:w="0" w:type="dxa"/>
              <w:right w:w="108" w:type="dxa"/>
            </w:tcMar>
            <w:hideMark/>
          </w:tcPr>
          <w:p w:rsidR="00CD292D" w:rsidRDefault="00CD292D">
            <w:r>
              <w:t>PN-EN 12697-12</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12: Określanie wrażliwości próbek asfaltowych na wodę</w:t>
            </w:r>
          </w:p>
        </w:tc>
      </w:tr>
      <w:tr w:rsidR="00CD292D" w:rsidTr="00CD292D">
        <w:tc>
          <w:tcPr>
            <w:tcW w:w="614" w:type="dxa"/>
            <w:tcMar>
              <w:top w:w="0" w:type="dxa"/>
              <w:left w:w="108" w:type="dxa"/>
              <w:bottom w:w="0" w:type="dxa"/>
              <w:right w:w="108" w:type="dxa"/>
            </w:tcMar>
            <w:hideMark/>
          </w:tcPr>
          <w:p w:rsidR="00CD292D" w:rsidRDefault="00CD292D">
            <w:pPr>
              <w:jc w:val="right"/>
            </w:pPr>
            <w:r>
              <w:t>40.</w:t>
            </w:r>
          </w:p>
        </w:tc>
        <w:tc>
          <w:tcPr>
            <w:tcW w:w="2254" w:type="dxa"/>
            <w:gridSpan w:val="2"/>
            <w:tcMar>
              <w:top w:w="0" w:type="dxa"/>
              <w:left w:w="108" w:type="dxa"/>
              <w:bottom w:w="0" w:type="dxa"/>
              <w:right w:w="108" w:type="dxa"/>
            </w:tcMar>
            <w:hideMark/>
          </w:tcPr>
          <w:p w:rsidR="00CD292D" w:rsidRDefault="00CD292D">
            <w:r>
              <w:t>PN-EN 12697-13</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13: Pomiar temperatury</w:t>
            </w:r>
          </w:p>
        </w:tc>
      </w:tr>
      <w:tr w:rsidR="00CD292D" w:rsidTr="00CD292D">
        <w:tc>
          <w:tcPr>
            <w:tcW w:w="614" w:type="dxa"/>
            <w:tcMar>
              <w:top w:w="0" w:type="dxa"/>
              <w:left w:w="108" w:type="dxa"/>
              <w:bottom w:w="0" w:type="dxa"/>
              <w:right w:w="108" w:type="dxa"/>
            </w:tcMar>
            <w:hideMark/>
          </w:tcPr>
          <w:p w:rsidR="00CD292D" w:rsidRDefault="00CD292D">
            <w:pPr>
              <w:jc w:val="right"/>
            </w:pPr>
            <w:r>
              <w:t>41.</w:t>
            </w:r>
          </w:p>
        </w:tc>
        <w:tc>
          <w:tcPr>
            <w:tcW w:w="2254" w:type="dxa"/>
            <w:gridSpan w:val="2"/>
            <w:tcMar>
              <w:top w:w="0" w:type="dxa"/>
              <w:left w:w="108" w:type="dxa"/>
              <w:bottom w:w="0" w:type="dxa"/>
              <w:right w:w="108" w:type="dxa"/>
            </w:tcMar>
            <w:hideMark/>
          </w:tcPr>
          <w:p w:rsidR="00CD292D" w:rsidRDefault="00CD292D">
            <w:r>
              <w:t>PN-EN 12697-22</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22: Koleinowanie</w:t>
            </w:r>
          </w:p>
        </w:tc>
      </w:tr>
      <w:tr w:rsidR="00CD292D" w:rsidTr="00CD292D">
        <w:tc>
          <w:tcPr>
            <w:tcW w:w="614" w:type="dxa"/>
            <w:tcMar>
              <w:top w:w="0" w:type="dxa"/>
              <w:left w:w="108" w:type="dxa"/>
              <w:bottom w:w="0" w:type="dxa"/>
              <w:right w:w="108" w:type="dxa"/>
            </w:tcMar>
            <w:hideMark/>
          </w:tcPr>
          <w:p w:rsidR="00CD292D" w:rsidRDefault="00CD292D">
            <w:pPr>
              <w:jc w:val="right"/>
            </w:pPr>
            <w:r>
              <w:t>42.</w:t>
            </w:r>
          </w:p>
        </w:tc>
        <w:tc>
          <w:tcPr>
            <w:tcW w:w="2254" w:type="dxa"/>
            <w:gridSpan w:val="2"/>
            <w:tcMar>
              <w:top w:w="0" w:type="dxa"/>
              <w:left w:w="108" w:type="dxa"/>
              <w:bottom w:w="0" w:type="dxa"/>
              <w:right w:w="108" w:type="dxa"/>
            </w:tcMar>
            <w:hideMark/>
          </w:tcPr>
          <w:p w:rsidR="00CD292D" w:rsidRDefault="00CD292D">
            <w:r>
              <w:t>PN-EN 12697-24</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24: Odporność na zmęczenie</w:t>
            </w:r>
          </w:p>
        </w:tc>
      </w:tr>
      <w:tr w:rsidR="00CD292D" w:rsidTr="00CD292D">
        <w:tc>
          <w:tcPr>
            <w:tcW w:w="614" w:type="dxa"/>
            <w:tcMar>
              <w:top w:w="0" w:type="dxa"/>
              <w:left w:w="108" w:type="dxa"/>
              <w:bottom w:w="0" w:type="dxa"/>
              <w:right w:w="108" w:type="dxa"/>
            </w:tcMar>
            <w:hideMark/>
          </w:tcPr>
          <w:p w:rsidR="00CD292D" w:rsidRDefault="00CD292D">
            <w:pPr>
              <w:jc w:val="right"/>
            </w:pPr>
            <w:r>
              <w:t>43.</w:t>
            </w:r>
          </w:p>
        </w:tc>
        <w:tc>
          <w:tcPr>
            <w:tcW w:w="2254" w:type="dxa"/>
            <w:gridSpan w:val="2"/>
            <w:tcMar>
              <w:top w:w="0" w:type="dxa"/>
              <w:left w:w="108" w:type="dxa"/>
              <w:bottom w:w="0" w:type="dxa"/>
              <w:right w:w="108" w:type="dxa"/>
            </w:tcMar>
            <w:hideMark/>
          </w:tcPr>
          <w:p w:rsidR="00CD292D" w:rsidRDefault="00CD292D">
            <w:r>
              <w:t>PN-EN 12697-26</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26: Sztywność</w:t>
            </w:r>
          </w:p>
        </w:tc>
      </w:tr>
      <w:tr w:rsidR="00CD292D" w:rsidTr="00CD292D">
        <w:tc>
          <w:tcPr>
            <w:tcW w:w="614" w:type="dxa"/>
            <w:tcMar>
              <w:top w:w="0" w:type="dxa"/>
              <w:left w:w="108" w:type="dxa"/>
              <w:bottom w:w="0" w:type="dxa"/>
              <w:right w:w="108" w:type="dxa"/>
            </w:tcMar>
            <w:hideMark/>
          </w:tcPr>
          <w:p w:rsidR="00CD292D" w:rsidRDefault="00CD292D">
            <w:pPr>
              <w:jc w:val="right"/>
            </w:pPr>
            <w:r>
              <w:t>44.</w:t>
            </w:r>
          </w:p>
        </w:tc>
        <w:tc>
          <w:tcPr>
            <w:tcW w:w="2254" w:type="dxa"/>
            <w:gridSpan w:val="2"/>
            <w:tcMar>
              <w:top w:w="0" w:type="dxa"/>
              <w:left w:w="108" w:type="dxa"/>
              <w:bottom w:w="0" w:type="dxa"/>
              <w:right w:w="108" w:type="dxa"/>
            </w:tcMar>
            <w:hideMark/>
          </w:tcPr>
          <w:p w:rsidR="00CD292D" w:rsidRDefault="00CD292D">
            <w:r>
              <w:t>PN-EN 12697-27</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27: Pobieranie próbek</w:t>
            </w:r>
          </w:p>
        </w:tc>
      </w:tr>
      <w:tr w:rsidR="00CD292D" w:rsidTr="00CD292D">
        <w:tc>
          <w:tcPr>
            <w:tcW w:w="614" w:type="dxa"/>
            <w:tcMar>
              <w:top w:w="0" w:type="dxa"/>
              <w:left w:w="108" w:type="dxa"/>
              <w:bottom w:w="0" w:type="dxa"/>
              <w:right w:w="108" w:type="dxa"/>
            </w:tcMar>
            <w:hideMark/>
          </w:tcPr>
          <w:p w:rsidR="00CD292D" w:rsidRDefault="00CD292D">
            <w:pPr>
              <w:jc w:val="right"/>
            </w:pPr>
            <w:r>
              <w:t>45.</w:t>
            </w:r>
          </w:p>
        </w:tc>
        <w:tc>
          <w:tcPr>
            <w:tcW w:w="2254" w:type="dxa"/>
            <w:gridSpan w:val="2"/>
            <w:tcMar>
              <w:top w:w="0" w:type="dxa"/>
              <w:left w:w="108" w:type="dxa"/>
              <w:bottom w:w="0" w:type="dxa"/>
              <w:right w:w="108" w:type="dxa"/>
            </w:tcMar>
            <w:hideMark/>
          </w:tcPr>
          <w:p w:rsidR="00CD292D" w:rsidRDefault="00CD292D">
            <w:r>
              <w:t>PN-EN 12697-36</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36: Oznaczanie grubości nawierzchni asfaltowych</w:t>
            </w:r>
          </w:p>
        </w:tc>
      </w:tr>
      <w:tr w:rsidR="00CD292D" w:rsidTr="00CD292D">
        <w:tc>
          <w:tcPr>
            <w:tcW w:w="614" w:type="dxa"/>
            <w:tcMar>
              <w:top w:w="0" w:type="dxa"/>
              <w:left w:w="108" w:type="dxa"/>
              <w:bottom w:w="0" w:type="dxa"/>
              <w:right w:w="108" w:type="dxa"/>
            </w:tcMar>
            <w:hideMark/>
          </w:tcPr>
          <w:p w:rsidR="00CD292D" w:rsidRDefault="00CD292D">
            <w:pPr>
              <w:jc w:val="right"/>
            </w:pPr>
            <w:r>
              <w:t>46.</w:t>
            </w:r>
          </w:p>
        </w:tc>
        <w:tc>
          <w:tcPr>
            <w:tcW w:w="2254" w:type="dxa"/>
            <w:gridSpan w:val="2"/>
            <w:tcMar>
              <w:top w:w="0" w:type="dxa"/>
              <w:left w:w="108" w:type="dxa"/>
              <w:bottom w:w="0" w:type="dxa"/>
              <w:right w:w="108" w:type="dxa"/>
            </w:tcMar>
            <w:hideMark/>
          </w:tcPr>
          <w:p w:rsidR="00CD292D" w:rsidRDefault="00CD292D">
            <w:r>
              <w:t>PN-EN 12697-39</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39: Oznaczanie zawartości lepiszcza metodą spalania</w:t>
            </w:r>
          </w:p>
        </w:tc>
      </w:tr>
      <w:tr w:rsidR="00CD292D" w:rsidTr="00CD292D">
        <w:tc>
          <w:tcPr>
            <w:tcW w:w="614" w:type="dxa"/>
            <w:tcMar>
              <w:top w:w="0" w:type="dxa"/>
              <w:left w:w="108" w:type="dxa"/>
              <w:bottom w:w="0" w:type="dxa"/>
              <w:right w:w="108" w:type="dxa"/>
            </w:tcMar>
            <w:hideMark/>
          </w:tcPr>
          <w:p w:rsidR="00CD292D" w:rsidRDefault="00CD292D">
            <w:pPr>
              <w:jc w:val="right"/>
            </w:pPr>
            <w:r>
              <w:t>47.</w:t>
            </w:r>
          </w:p>
        </w:tc>
        <w:tc>
          <w:tcPr>
            <w:tcW w:w="2254" w:type="dxa"/>
            <w:gridSpan w:val="2"/>
            <w:tcMar>
              <w:top w:w="0" w:type="dxa"/>
              <w:left w:w="108" w:type="dxa"/>
              <w:bottom w:w="0" w:type="dxa"/>
              <w:right w:w="108" w:type="dxa"/>
            </w:tcMar>
            <w:hideMark/>
          </w:tcPr>
          <w:p w:rsidR="00CD292D" w:rsidRDefault="00CD292D">
            <w:r>
              <w:t>PN-EN 12697-41</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41: Odporność na płyny zapobiegające oblodzeniu</w:t>
            </w:r>
          </w:p>
        </w:tc>
      </w:tr>
      <w:tr w:rsidR="00CD292D" w:rsidTr="00CD292D">
        <w:tc>
          <w:tcPr>
            <w:tcW w:w="614" w:type="dxa"/>
            <w:tcMar>
              <w:top w:w="0" w:type="dxa"/>
              <w:left w:w="108" w:type="dxa"/>
              <w:bottom w:w="0" w:type="dxa"/>
              <w:right w:w="108" w:type="dxa"/>
            </w:tcMar>
            <w:hideMark/>
          </w:tcPr>
          <w:p w:rsidR="00CD292D" w:rsidRDefault="00CD292D">
            <w:pPr>
              <w:jc w:val="right"/>
            </w:pPr>
            <w:r>
              <w:t>48.</w:t>
            </w:r>
          </w:p>
        </w:tc>
        <w:tc>
          <w:tcPr>
            <w:tcW w:w="2254" w:type="dxa"/>
            <w:gridSpan w:val="2"/>
            <w:tcMar>
              <w:top w:w="0" w:type="dxa"/>
              <w:left w:w="108" w:type="dxa"/>
              <w:bottom w:w="0" w:type="dxa"/>
              <w:right w:w="108" w:type="dxa"/>
            </w:tcMar>
            <w:hideMark/>
          </w:tcPr>
          <w:p w:rsidR="00CD292D" w:rsidRDefault="00CD292D">
            <w:r>
              <w:t>PN-EN 12697-42</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42: Zawartość części obcych w destrukcie asfaltowym</w:t>
            </w:r>
          </w:p>
        </w:tc>
      </w:tr>
      <w:tr w:rsidR="00CD292D" w:rsidTr="00CD292D">
        <w:tc>
          <w:tcPr>
            <w:tcW w:w="614" w:type="dxa"/>
            <w:tcMar>
              <w:top w:w="0" w:type="dxa"/>
              <w:left w:w="108" w:type="dxa"/>
              <w:bottom w:w="0" w:type="dxa"/>
              <w:right w:w="108" w:type="dxa"/>
            </w:tcMar>
            <w:hideMark/>
          </w:tcPr>
          <w:p w:rsidR="00CD292D" w:rsidRDefault="00CD292D">
            <w:pPr>
              <w:jc w:val="right"/>
            </w:pPr>
            <w:r>
              <w:t>49.</w:t>
            </w:r>
          </w:p>
        </w:tc>
        <w:tc>
          <w:tcPr>
            <w:tcW w:w="2254" w:type="dxa"/>
            <w:gridSpan w:val="2"/>
            <w:tcMar>
              <w:top w:w="0" w:type="dxa"/>
              <w:left w:w="108" w:type="dxa"/>
              <w:bottom w:w="0" w:type="dxa"/>
              <w:right w:w="108" w:type="dxa"/>
            </w:tcMar>
            <w:hideMark/>
          </w:tcPr>
          <w:p w:rsidR="00CD292D" w:rsidRDefault="00CD292D">
            <w:r>
              <w:t>PN-EN 12697-43</w:t>
            </w:r>
          </w:p>
        </w:tc>
        <w:tc>
          <w:tcPr>
            <w:tcW w:w="7480" w:type="dxa"/>
            <w:tcMar>
              <w:top w:w="0" w:type="dxa"/>
              <w:left w:w="108" w:type="dxa"/>
              <w:bottom w:w="0" w:type="dxa"/>
              <w:right w:w="108" w:type="dxa"/>
            </w:tcMar>
            <w:hideMark/>
          </w:tcPr>
          <w:p w:rsidR="00CD292D" w:rsidRDefault="00CD292D">
            <w:r>
              <w:t>Mieszanki mineralno-asfaltowe - Metody badań mieszanek mineralno-asfaltowych na gorąco - Część 43: Odporność na paliwo</w:t>
            </w:r>
          </w:p>
        </w:tc>
      </w:tr>
      <w:tr w:rsidR="00CD292D" w:rsidTr="00CD292D">
        <w:tc>
          <w:tcPr>
            <w:tcW w:w="614" w:type="dxa"/>
            <w:tcMar>
              <w:top w:w="0" w:type="dxa"/>
              <w:left w:w="108" w:type="dxa"/>
              <w:bottom w:w="0" w:type="dxa"/>
              <w:right w:w="108" w:type="dxa"/>
            </w:tcMar>
            <w:hideMark/>
          </w:tcPr>
          <w:p w:rsidR="00CD292D" w:rsidRDefault="00CD292D">
            <w:pPr>
              <w:jc w:val="right"/>
            </w:pPr>
            <w:r>
              <w:t>50.</w:t>
            </w:r>
          </w:p>
        </w:tc>
        <w:tc>
          <w:tcPr>
            <w:tcW w:w="2254" w:type="dxa"/>
            <w:gridSpan w:val="2"/>
            <w:tcMar>
              <w:top w:w="0" w:type="dxa"/>
              <w:left w:w="108" w:type="dxa"/>
              <w:bottom w:w="0" w:type="dxa"/>
              <w:right w:w="108" w:type="dxa"/>
            </w:tcMar>
            <w:hideMark/>
          </w:tcPr>
          <w:p w:rsidR="00CD292D" w:rsidRDefault="00CD292D">
            <w:r>
              <w:t>PN-EN 13043</w:t>
            </w:r>
          </w:p>
        </w:tc>
        <w:tc>
          <w:tcPr>
            <w:tcW w:w="7480" w:type="dxa"/>
            <w:tcMar>
              <w:top w:w="0" w:type="dxa"/>
              <w:left w:w="108" w:type="dxa"/>
              <w:bottom w:w="0" w:type="dxa"/>
              <w:right w:w="108" w:type="dxa"/>
            </w:tcMar>
            <w:hideMark/>
          </w:tcPr>
          <w:p w:rsidR="00CD292D" w:rsidRDefault="00CD292D">
            <w:r>
              <w:t>Kruszywa do mieszanek bitumicznych i powierzchniowych utrwaleń stosowanych na drogach, lotniskach i innych powierzchniach przeznaczonych do ruchu</w:t>
            </w:r>
          </w:p>
        </w:tc>
      </w:tr>
      <w:tr w:rsidR="00CD292D" w:rsidTr="00CD292D">
        <w:tc>
          <w:tcPr>
            <w:tcW w:w="614" w:type="dxa"/>
            <w:tcMar>
              <w:top w:w="0" w:type="dxa"/>
              <w:left w:w="108" w:type="dxa"/>
              <w:bottom w:w="0" w:type="dxa"/>
              <w:right w:w="108" w:type="dxa"/>
            </w:tcMar>
            <w:hideMark/>
          </w:tcPr>
          <w:p w:rsidR="00CD292D" w:rsidRDefault="00CD292D">
            <w:pPr>
              <w:jc w:val="right"/>
            </w:pPr>
            <w:r>
              <w:t>51.</w:t>
            </w:r>
          </w:p>
        </w:tc>
        <w:tc>
          <w:tcPr>
            <w:tcW w:w="2254" w:type="dxa"/>
            <w:gridSpan w:val="2"/>
            <w:tcMar>
              <w:top w:w="0" w:type="dxa"/>
              <w:left w:w="108" w:type="dxa"/>
              <w:bottom w:w="0" w:type="dxa"/>
              <w:right w:w="108" w:type="dxa"/>
            </w:tcMar>
            <w:hideMark/>
          </w:tcPr>
          <w:p w:rsidR="00CD292D" w:rsidRDefault="00CD292D">
            <w:r>
              <w:t>PN-EN 13108-1</w:t>
            </w:r>
          </w:p>
        </w:tc>
        <w:tc>
          <w:tcPr>
            <w:tcW w:w="7480" w:type="dxa"/>
            <w:tcMar>
              <w:top w:w="0" w:type="dxa"/>
              <w:left w:w="108" w:type="dxa"/>
              <w:bottom w:w="0" w:type="dxa"/>
              <w:right w:w="108" w:type="dxa"/>
            </w:tcMar>
            <w:hideMark/>
          </w:tcPr>
          <w:p w:rsidR="00CD292D" w:rsidRDefault="00CD292D">
            <w:r>
              <w:t>Mieszanki mineralno-asfaltowe – Wymagania – Część 1: Beton asfaltowy</w:t>
            </w:r>
          </w:p>
        </w:tc>
      </w:tr>
      <w:tr w:rsidR="00CD292D" w:rsidTr="00CD292D">
        <w:tc>
          <w:tcPr>
            <w:tcW w:w="614" w:type="dxa"/>
            <w:tcMar>
              <w:top w:w="0" w:type="dxa"/>
              <w:left w:w="108" w:type="dxa"/>
              <w:bottom w:w="0" w:type="dxa"/>
              <w:right w:w="108" w:type="dxa"/>
            </w:tcMar>
            <w:hideMark/>
          </w:tcPr>
          <w:p w:rsidR="00CD292D" w:rsidRDefault="00CD292D">
            <w:pPr>
              <w:jc w:val="right"/>
            </w:pPr>
            <w:r>
              <w:t>52.</w:t>
            </w:r>
          </w:p>
        </w:tc>
        <w:tc>
          <w:tcPr>
            <w:tcW w:w="2254" w:type="dxa"/>
            <w:gridSpan w:val="2"/>
            <w:tcMar>
              <w:top w:w="0" w:type="dxa"/>
              <w:left w:w="108" w:type="dxa"/>
              <w:bottom w:w="0" w:type="dxa"/>
              <w:right w:w="108" w:type="dxa"/>
            </w:tcMar>
            <w:hideMark/>
          </w:tcPr>
          <w:p w:rsidR="00CD292D" w:rsidRDefault="00CD292D">
            <w:r>
              <w:t>PN-EN 13108-4</w:t>
            </w:r>
          </w:p>
        </w:tc>
        <w:tc>
          <w:tcPr>
            <w:tcW w:w="7480" w:type="dxa"/>
            <w:tcMar>
              <w:top w:w="0" w:type="dxa"/>
              <w:left w:w="108" w:type="dxa"/>
              <w:bottom w:w="0" w:type="dxa"/>
              <w:right w:w="108" w:type="dxa"/>
            </w:tcMar>
            <w:hideMark/>
          </w:tcPr>
          <w:p w:rsidR="00CD292D" w:rsidRDefault="00CD292D">
            <w:r>
              <w:t>Mieszanki mineralno-asfaltowe - Wymagania - Część 4: Mieszanka HRA</w:t>
            </w:r>
          </w:p>
        </w:tc>
      </w:tr>
      <w:tr w:rsidR="00CD292D" w:rsidTr="00CD292D">
        <w:tc>
          <w:tcPr>
            <w:tcW w:w="614" w:type="dxa"/>
            <w:tcMar>
              <w:top w:w="0" w:type="dxa"/>
              <w:left w:w="108" w:type="dxa"/>
              <w:bottom w:w="0" w:type="dxa"/>
              <w:right w:w="108" w:type="dxa"/>
            </w:tcMar>
            <w:hideMark/>
          </w:tcPr>
          <w:p w:rsidR="00CD292D" w:rsidRDefault="00CD292D">
            <w:pPr>
              <w:jc w:val="right"/>
            </w:pPr>
            <w:r>
              <w:t>53.</w:t>
            </w:r>
          </w:p>
        </w:tc>
        <w:tc>
          <w:tcPr>
            <w:tcW w:w="2254" w:type="dxa"/>
            <w:gridSpan w:val="2"/>
            <w:tcMar>
              <w:top w:w="0" w:type="dxa"/>
              <w:left w:w="108" w:type="dxa"/>
              <w:bottom w:w="0" w:type="dxa"/>
              <w:right w:w="108" w:type="dxa"/>
            </w:tcMar>
            <w:hideMark/>
          </w:tcPr>
          <w:p w:rsidR="00CD292D" w:rsidRDefault="00CD292D">
            <w:r>
              <w:t>PN-EN 13108-8</w:t>
            </w:r>
          </w:p>
        </w:tc>
        <w:tc>
          <w:tcPr>
            <w:tcW w:w="7480" w:type="dxa"/>
            <w:tcMar>
              <w:top w:w="0" w:type="dxa"/>
              <w:left w:w="108" w:type="dxa"/>
              <w:bottom w:w="0" w:type="dxa"/>
              <w:right w:w="108" w:type="dxa"/>
            </w:tcMar>
            <w:hideMark/>
          </w:tcPr>
          <w:p w:rsidR="00CD292D" w:rsidRDefault="00CD292D">
            <w:r>
              <w:t>Mieszanki mineralno-asfaltowe - Wymagania - Część 8: Destrukt asfaltowy</w:t>
            </w:r>
          </w:p>
        </w:tc>
      </w:tr>
      <w:tr w:rsidR="00CD292D" w:rsidTr="00CD292D">
        <w:tc>
          <w:tcPr>
            <w:tcW w:w="614" w:type="dxa"/>
            <w:tcMar>
              <w:top w:w="0" w:type="dxa"/>
              <w:left w:w="108" w:type="dxa"/>
              <w:bottom w:w="0" w:type="dxa"/>
              <w:right w:w="108" w:type="dxa"/>
            </w:tcMar>
            <w:hideMark/>
          </w:tcPr>
          <w:p w:rsidR="00CD292D" w:rsidRDefault="00CD292D">
            <w:pPr>
              <w:jc w:val="right"/>
            </w:pPr>
            <w:r>
              <w:lastRenderedPageBreak/>
              <w:t>54.</w:t>
            </w:r>
          </w:p>
        </w:tc>
        <w:tc>
          <w:tcPr>
            <w:tcW w:w="2254" w:type="dxa"/>
            <w:gridSpan w:val="2"/>
            <w:tcMar>
              <w:top w:w="0" w:type="dxa"/>
              <w:left w:w="108" w:type="dxa"/>
              <w:bottom w:w="0" w:type="dxa"/>
              <w:right w:w="108" w:type="dxa"/>
            </w:tcMar>
            <w:hideMark/>
          </w:tcPr>
          <w:p w:rsidR="00CD292D" w:rsidRDefault="00CD292D">
            <w:r>
              <w:t>PN-EN 13108-20</w:t>
            </w:r>
          </w:p>
        </w:tc>
        <w:tc>
          <w:tcPr>
            <w:tcW w:w="7480" w:type="dxa"/>
            <w:tcMar>
              <w:top w:w="0" w:type="dxa"/>
              <w:left w:w="108" w:type="dxa"/>
              <w:bottom w:w="0" w:type="dxa"/>
              <w:right w:w="108" w:type="dxa"/>
            </w:tcMar>
            <w:hideMark/>
          </w:tcPr>
          <w:p w:rsidR="00CD292D" w:rsidRDefault="00CD292D">
            <w:r>
              <w:t>Mieszanki mineralno-asfaltowe – Wymagania – Część 20: Badanie typu</w:t>
            </w:r>
          </w:p>
        </w:tc>
      </w:tr>
      <w:tr w:rsidR="00CD292D" w:rsidTr="00CD292D">
        <w:tc>
          <w:tcPr>
            <w:tcW w:w="614" w:type="dxa"/>
            <w:tcMar>
              <w:top w:w="0" w:type="dxa"/>
              <w:left w:w="108" w:type="dxa"/>
              <w:bottom w:w="0" w:type="dxa"/>
              <w:right w:w="108" w:type="dxa"/>
            </w:tcMar>
            <w:hideMark/>
          </w:tcPr>
          <w:p w:rsidR="00CD292D" w:rsidRDefault="00CD292D">
            <w:pPr>
              <w:jc w:val="right"/>
            </w:pPr>
            <w:r>
              <w:t>55.</w:t>
            </w:r>
          </w:p>
        </w:tc>
        <w:tc>
          <w:tcPr>
            <w:tcW w:w="2254" w:type="dxa"/>
            <w:gridSpan w:val="2"/>
            <w:tcMar>
              <w:top w:w="0" w:type="dxa"/>
              <w:left w:w="108" w:type="dxa"/>
              <w:bottom w:w="0" w:type="dxa"/>
              <w:right w:w="108" w:type="dxa"/>
            </w:tcMar>
            <w:hideMark/>
          </w:tcPr>
          <w:p w:rsidR="00CD292D" w:rsidRDefault="00CD292D">
            <w:r>
              <w:t xml:space="preserve">PN-EN </w:t>
            </w:r>
          </w:p>
          <w:p w:rsidR="00CD292D" w:rsidRDefault="00CD292D">
            <w:r>
              <w:t>13108-21</w:t>
            </w:r>
          </w:p>
        </w:tc>
        <w:tc>
          <w:tcPr>
            <w:tcW w:w="7480" w:type="dxa"/>
            <w:tcMar>
              <w:top w:w="0" w:type="dxa"/>
              <w:left w:w="108" w:type="dxa"/>
              <w:bottom w:w="0" w:type="dxa"/>
              <w:right w:w="108" w:type="dxa"/>
            </w:tcMar>
            <w:hideMark/>
          </w:tcPr>
          <w:p w:rsidR="00CD292D" w:rsidRDefault="00CD292D">
            <w:r>
              <w:t>Mieszanki mineralno-asfaltowe - Wymagania - Część 21: Zakładowa kontrola produkcji</w:t>
            </w:r>
          </w:p>
        </w:tc>
      </w:tr>
      <w:tr w:rsidR="00CD292D" w:rsidTr="00CD292D">
        <w:tc>
          <w:tcPr>
            <w:tcW w:w="614" w:type="dxa"/>
            <w:tcMar>
              <w:top w:w="0" w:type="dxa"/>
              <w:left w:w="108" w:type="dxa"/>
              <w:bottom w:w="0" w:type="dxa"/>
              <w:right w:w="108" w:type="dxa"/>
            </w:tcMar>
            <w:hideMark/>
          </w:tcPr>
          <w:p w:rsidR="00CD292D" w:rsidRDefault="00CD292D">
            <w:pPr>
              <w:jc w:val="right"/>
            </w:pPr>
            <w:r>
              <w:t>56.</w:t>
            </w:r>
          </w:p>
        </w:tc>
        <w:tc>
          <w:tcPr>
            <w:tcW w:w="2254" w:type="dxa"/>
            <w:gridSpan w:val="2"/>
            <w:tcMar>
              <w:top w:w="0" w:type="dxa"/>
              <w:left w:w="108" w:type="dxa"/>
              <w:bottom w:w="0" w:type="dxa"/>
              <w:right w:w="108" w:type="dxa"/>
            </w:tcMar>
            <w:hideMark/>
          </w:tcPr>
          <w:p w:rsidR="00CD292D" w:rsidRDefault="00CD292D">
            <w:r>
              <w:t>PN-EN 13179-1</w:t>
            </w:r>
          </w:p>
        </w:tc>
        <w:tc>
          <w:tcPr>
            <w:tcW w:w="7480" w:type="dxa"/>
            <w:tcMar>
              <w:top w:w="0" w:type="dxa"/>
              <w:left w:w="108" w:type="dxa"/>
              <w:bottom w:w="0" w:type="dxa"/>
              <w:right w:w="108" w:type="dxa"/>
            </w:tcMar>
            <w:hideMark/>
          </w:tcPr>
          <w:p w:rsidR="00CD292D" w:rsidRDefault="00CD292D">
            <w:r>
              <w:t>Badania kruszyw wypełniających stosowanych do mieszanek bitumicznych – Część 1: Badanie metodą pierścienia delta i kuli</w:t>
            </w:r>
          </w:p>
        </w:tc>
      </w:tr>
      <w:tr w:rsidR="00CD292D" w:rsidTr="00CD292D">
        <w:tc>
          <w:tcPr>
            <w:tcW w:w="614" w:type="dxa"/>
            <w:tcMar>
              <w:top w:w="0" w:type="dxa"/>
              <w:left w:w="108" w:type="dxa"/>
              <w:bottom w:w="0" w:type="dxa"/>
              <w:right w:w="108" w:type="dxa"/>
            </w:tcMar>
            <w:hideMark/>
          </w:tcPr>
          <w:p w:rsidR="00CD292D" w:rsidRDefault="00CD292D">
            <w:pPr>
              <w:jc w:val="right"/>
            </w:pPr>
            <w:r>
              <w:t>57.</w:t>
            </w:r>
          </w:p>
        </w:tc>
        <w:tc>
          <w:tcPr>
            <w:tcW w:w="2254" w:type="dxa"/>
            <w:gridSpan w:val="2"/>
            <w:tcMar>
              <w:top w:w="0" w:type="dxa"/>
              <w:left w:w="108" w:type="dxa"/>
              <w:bottom w:w="0" w:type="dxa"/>
              <w:right w:w="108" w:type="dxa"/>
            </w:tcMar>
            <w:hideMark/>
          </w:tcPr>
          <w:p w:rsidR="00CD292D" w:rsidRDefault="00CD292D">
            <w:r>
              <w:t>PN-EN 13179-2</w:t>
            </w:r>
          </w:p>
        </w:tc>
        <w:tc>
          <w:tcPr>
            <w:tcW w:w="7480" w:type="dxa"/>
            <w:tcMar>
              <w:top w:w="0" w:type="dxa"/>
              <w:left w:w="108" w:type="dxa"/>
              <w:bottom w:w="0" w:type="dxa"/>
              <w:right w:w="108" w:type="dxa"/>
            </w:tcMar>
            <w:hideMark/>
          </w:tcPr>
          <w:p w:rsidR="00CD292D" w:rsidRDefault="00CD292D">
            <w:r>
              <w:t>Badania kruszyw wypełniających stosowanych do mieszanek bitumicznych – Część 2: Liczba bitumiczna</w:t>
            </w:r>
          </w:p>
        </w:tc>
      </w:tr>
      <w:tr w:rsidR="00CD292D" w:rsidTr="00CD292D">
        <w:tc>
          <w:tcPr>
            <w:tcW w:w="614" w:type="dxa"/>
            <w:tcMar>
              <w:top w:w="0" w:type="dxa"/>
              <w:left w:w="108" w:type="dxa"/>
              <w:bottom w:w="0" w:type="dxa"/>
              <w:right w:w="108" w:type="dxa"/>
            </w:tcMar>
            <w:hideMark/>
          </w:tcPr>
          <w:p w:rsidR="00CD292D" w:rsidRDefault="00CD292D">
            <w:pPr>
              <w:jc w:val="right"/>
            </w:pPr>
            <w:r>
              <w:t>58.</w:t>
            </w:r>
          </w:p>
        </w:tc>
        <w:tc>
          <w:tcPr>
            <w:tcW w:w="2254" w:type="dxa"/>
            <w:gridSpan w:val="2"/>
            <w:tcMar>
              <w:top w:w="0" w:type="dxa"/>
              <w:left w:w="108" w:type="dxa"/>
              <w:bottom w:w="0" w:type="dxa"/>
              <w:right w:w="108" w:type="dxa"/>
            </w:tcMar>
            <w:hideMark/>
          </w:tcPr>
          <w:p w:rsidR="00CD292D" w:rsidRDefault="00CD292D">
            <w:r>
              <w:t>PN-EN 13398</w:t>
            </w:r>
          </w:p>
        </w:tc>
        <w:tc>
          <w:tcPr>
            <w:tcW w:w="7480" w:type="dxa"/>
            <w:tcMar>
              <w:top w:w="0" w:type="dxa"/>
              <w:left w:w="108" w:type="dxa"/>
              <w:bottom w:w="0" w:type="dxa"/>
              <w:right w:w="108" w:type="dxa"/>
            </w:tcMar>
            <w:hideMark/>
          </w:tcPr>
          <w:p w:rsidR="00CD292D" w:rsidRDefault="00CD292D">
            <w:r>
              <w:t>Asfalty i lepiszcza asfaltowe – Oznaczanie nawrotu sprężystego asfaltów modyfikowanych</w:t>
            </w:r>
          </w:p>
        </w:tc>
      </w:tr>
      <w:tr w:rsidR="00CD292D" w:rsidTr="00CD292D">
        <w:tc>
          <w:tcPr>
            <w:tcW w:w="632" w:type="dxa"/>
            <w:gridSpan w:val="2"/>
            <w:tcMar>
              <w:top w:w="0" w:type="dxa"/>
              <w:left w:w="108" w:type="dxa"/>
              <w:bottom w:w="0" w:type="dxa"/>
              <w:right w:w="108" w:type="dxa"/>
            </w:tcMar>
            <w:hideMark/>
          </w:tcPr>
          <w:p w:rsidR="00CD292D" w:rsidRDefault="00CD292D">
            <w:pPr>
              <w:jc w:val="right"/>
            </w:pPr>
            <w:r>
              <w:t>59.</w:t>
            </w:r>
          </w:p>
        </w:tc>
        <w:tc>
          <w:tcPr>
            <w:tcW w:w="2236" w:type="dxa"/>
            <w:tcMar>
              <w:top w:w="0" w:type="dxa"/>
              <w:left w:w="108" w:type="dxa"/>
              <w:bottom w:w="0" w:type="dxa"/>
              <w:right w:w="108" w:type="dxa"/>
            </w:tcMar>
            <w:hideMark/>
          </w:tcPr>
          <w:p w:rsidR="00CD292D" w:rsidRDefault="00CD292D">
            <w:r>
              <w:t>PN-EN 13399</w:t>
            </w:r>
          </w:p>
        </w:tc>
        <w:tc>
          <w:tcPr>
            <w:tcW w:w="7480" w:type="dxa"/>
            <w:tcMar>
              <w:top w:w="0" w:type="dxa"/>
              <w:left w:w="108" w:type="dxa"/>
              <w:bottom w:w="0" w:type="dxa"/>
              <w:right w:w="108" w:type="dxa"/>
            </w:tcMar>
            <w:hideMark/>
          </w:tcPr>
          <w:p w:rsidR="00CD292D" w:rsidRDefault="00CD292D">
            <w:r>
              <w:t>Asfalty i lepiszcza asfaltowe – Oznaczanie stabilności podczas magazynowania asfaltów modyfikowanych</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60.</w:t>
            </w:r>
          </w:p>
        </w:tc>
        <w:tc>
          <w:tcPr>
            <w:tcW w:w="2236" w:type="dxa"/>
            <w:tcMar>
              <w:top w:w="0" w:type="dxa"/>
              <w:left w:w="108" w:type="dxa"/>
              <w:bottom w:w="0" w:type="dxa"/>
              <w:right w:w="108" w:type="dxa"/>
            </w:tcMar>
            <w:hideMark/>
          </w:tcPr>
          <w:p w:rsidR="00CD292D" w:rsidRDefault="00CD292D">
            <w:r>
              <w:t>PN-EN 13587</w:t>
            </w:r>
          </w:p>
        </w:tc>
        <w:tc>
          <w:tcPr>
            <w:tcW w:w="7480" w:type="dxa"/>
            <w:tcMar>
              <w:top w:w="0" w:type="dxa"/>
              <w:left w:w="108" w:type="dxa"/>
              <w:bottom w:w="0" w:type="dxa"/>
              <w:right w:w="108" w:type="dxa"/>
            </w:tcMar>
            <w:hideMark/>
          </w:tcPr>
          <w:p w:rsidR="00CD292D" w:rsidRDefault="00CD292D">
            <w:r>
              <w:t>Asfalty i lepiszcza asfaltowe – Oznaczanie właściwości mechanicznych lepiszczy asfaltowych metodą rozciągania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61.</w:t>
            </w:r>
          </w:p>
        </w:tc>
        <w:tc>
          <w:tcPr>
            <w:tcW w:w="2236" w:type="dxa"/>
            <w:tcMar>
              <w:top w:w="0" w:type="dxa"/>
              <w:left w:w="108" w:type="dxa"/>
              <w:bottom w:w="0" w:type="dxa"/>
              <w:right w:w="108" w:type="dxa"/>
            </w:tcMar>
            <w:hideMark/>
          </w:tcPr>
          <w:p w:rsidR="00CD292D" w:rsidRDefault="00CD292D">
            <w:r>
              <w:t>PN-EN 13588</w:t>
            </w:r>
          </w:p>
        </w:tc>
        <w:tc>
          <w:tcPr>
            <w:tcW w:w="7480" w:type="dxa"/>
            <w:tcMar>
              <w:top w:w="0" w:type="dxa"/>
              <w:left w:w="108" w:type="dxa"/>
              <w:bottom w:w="0" w:type="dxa"/>
              <w:right w:w="108" w:type="dxa"/>
            </w:tcMar>
            <w:hideMark/>
          </w:tcPr>
          <w:p w:rsidR="00CD292D" w:rsidRDefault="00CD292D">
            <w:r>
              <w:t>Asfalty i lepiszcza asfaltowe – Oznaczanie kohezji lepiszczy asfaltowych metodą testu wahadłowego</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62.</w:t>
            </w:r>
          </w:p>
        </w:tc>
        <w:tc>
          <w:tcPr>
            <w:tcW w:w="2236" w:type="dxa"/>
            <w:tcMar>
              <w:top w:w="0" w:type="dxa"/>
              <w:left w:w="108" w:type="dxa"/>
              <w:bottom w:w="0" w:type="dxa"/>
              <w:right w:w="108" w:type="dxa"/>
            </w:tcMar>
            <w:hideMark/>
          </w:tcPr>
          <w:p w:rsidR="00CD292D" w:rsidRDefault="00CD292D">
            <w:r>
              <w:t>PN-EN 13589</w:t>
            </w:r>
          </w:p>
        </w:tc>
        <w:tc>
          <w:tcPr>
            <w:tcW w:w="7480" w:type="dxa"/>
            <w:tcMar>
              <w:top w:w="0" w:type="dxa"/>
              <w:left w:w="108" w:type="dxa"/>
              <w:bottom w:w="0" w:type="dxa"/>
              <w:right w:w="108" w:type="dxa"/>
            </w:tcMar>
            <w:hideMark/>
          </w:tcPr>
          <w:p w:rsidR="00CD292D" w:rsidRDefault="00CD292D">
            <w:r>
              <w:t>Asfalty i lepiszcza asfaltowe – Oznaczanie siły rozciągania asfaltów modyfikowanych – Metoda z duktylometrem</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63.</w:t>
            </w:r>
          </w:p>
        </w:tc>
        <w:tc>
          <w:tcPr>
            <w:tcW w:w="2236" w:type="dxa"/>
            <w:tcMar>
              <w:top w:w="0" w:type="dxa"/>
              <w:left w:w="108" w:type="dxa"/>
              <w:bottom w:w="0" w:type="dxa"/>
              <w:right w:w="108" w:type="dxa"/>
            </w:tcMar>
            <w:hideMark/>
          </w:tcPr>
          <w:p w:rsidR="00CD292D" w:rsidRDefault="00CD292D">
            <w:r>
              <w:t>PN-EN 13703</w:t>
            </w:r>
          </w:p>
        </w:tc>
        <w:tc>
          <w:tcPr>
            <w:tcW w:w="7480" w:type="dxa"/>
            <w:tcMar>
              <w:top w:w="0" w:type="dxa"/>
              <w:left w:w="108" w:type="dxa"/>
              <w:bottom w:w="0" w:type="dxa"/>
              <w:right w:w="108" w:type="dxa"/>
            </w:tcMar>
            <w:hideMark/>
          </w:tcPr>
          <w:p w:rsidR="00CD292D" w:rsidRDefault="00CD292D">
            <w:r>
              <w:t>Asfalty i lepiszcza asfaltowe – Oznaczanie energii odkształcenia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64.</w:t>
            </w:r>
          </w:p>
        </w:tc>
        <w:tc>
          <w:tcPr>
            <w:tcW w:w="2236" w:type="dxa"/>
            <w:tcMar>
              <w:top w:w="0" w:type="dxa"/>
              <w:left w:w="108" w:type="dxa"/>
              <w:bottom w:w="0" w:type="dxa"/>
              <w:right w:w="108" w:type="dxa"/>
            </w:tcMar>
            <w:hideMark/>
          </w:tcPr>
          <w:p w:rsidR="00CD292D" w:rsidRDefault="00CD292D">
            <w:r>
              <w:t>PN-EN 13808</w:t>
            </w:r>
          </w:p>
        </w:tc>
        <w:tc>
          <w:tcPr>
            <w:tcW w:w="7480" w:type="dxa"/>
            <w:tcMar>
              <w:top w:w="0" w:type="dxa"/>
              <w:left w:w="108" w:type="dxa"/>
              <w:bottom w:w="0" w:type="dxa"/>
              <w:right w:w="108" w:type="dxa"/>
            </w:tcMar>
            <w:hideMark/>
          </w:tcPr>
          <w:p w:rsidR="00CD292D" w:rsidRDefault="00CD292D">
            <w:r>
              <w:t>Asfalty i lepiszcza asfaltowe – Zasady specyfikacji kationowych emulsji asfaltowych</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64a.</w:t>
            </w:r>
          </w:p>
        </w:tc>
        <w:tc>
          <w:tcPr>
            <w:tcW w:w="2236" w:type="dxa"/>
            <w:tcMar>
              <w:top w:w="0" w:type="dxa"/>
              <w:left w:w="108" w:type="dxa"/>
              <w:bottom w:w="0" w:type="dxa"/>
              <w:right w:w="108" w:type="dxa"/>
            </w:tcMar>
            <w:hideMark/>
          </w:tcPr>
          <w:p w:rsidR="00CD292D" w:rsidRDefault="00CD292D">
            <w:r>
              <w:t>PN-EN 13808:2013-10/Ap1:2014-07</w:t>
            </w:r>
          </w:p>
        </w:tc>
        <w:tc>
          <w:tcPr>
            <w:tcW w:w="7480" w:type="dxa"/>
            <w:tcMar>
              <w:top w:w="0" w:type="dxa"/>
              <w:left w:w="108" w:type="dxa"/>
              <w:bottom w:w="0" w:type="dxa"/>
              <w:right w:w="108" w:type="dxa"/>
            </w:tcMar>
            <w:hideMark/>
          </w:tcPr>
          <w:p w:rsidR="00CD292D" w:rsidRDefault="00CD292D">
            <w:r>
              <w:t>Asfalty i lepiszcza asfaltowe – Zasady specyfikacji kationowych emulsji asfaltowych. Załącznik krajowy NA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65.</w:t>
            </w:r>
          </w:p>
        </w:tc>
        <w:tc>
          <w:tcPr>
            <w:tcW w:w="2236" w:type="dxa"/>
            <w:tcMar>
              <w:top w:w="0" w:type="dxa"/>
              <w:left w:w="108" w:type="dxa"/>
              <w:bottom w:w="0" w:type="dxa"/>
              <w:right w:w="108" w:type="dxa"/>
            </w:tcMar>
            <w:hideMark/>
          </w:tcPr>
          <w:p w:rsidR="00CD292D" w:rsidRDefault="00CD292D">
            <w:r>
              <w:t>PN-EN 13924-2</w:t>
            </w:r>
          </w:p>
        </w:tc>
        <w:tc>
          <w:tcPr>
            <w:tcW w:w="7480" w:type="dxa"/>
            <w:tcMar>
              <w:top w:w="0" w:type="dxa"/>
              <w:left w:w="108" w:type="dxa"/>
              <w:bottom w:w="0" w:type="dxa"/>
              <w:right w:w="108" w:type="dxa"/>
            </w:tcMar>
            <w:hideMark/>
          </w:tcPr>
          <w:p w:rsidR="00CD292D" w:rsidRDefault="00CD292D">
            <w:r>
              <w:t xml:space="preserve">Asfalty i lepiszcza asfaltowe - Zasady klasyfikacji asfaltów drogowych specjalnych - Część 2: Asfalty drogowe wielorodzajowe </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65a.</w:t>
            </w:r>
          </w:p>
        </w:tc>
        <w:tc>
          <w:tcPr>
            <w:tcW w:w="2236" w:type="dxa"/>
            <w:tcMar>
              <w:top w:w="0" w:type="dxa"/>
              <w:left w:w="108" w:type="dxa"/>
              <w:bottom w:w="0" w:type="dxa"/>
              <w:right w:w="108" w:type="dxa"/>
            </w:tcMar>
            <w:hideMark/>
          </w:tcPr>
          <w:p w:rsidR="00CD292D" w:rsidRDefault="00CD292D">
            <w:pPr>
              <w:rPr>
                <w:lang w:val="en-US"/>
              </w:rPr>
            </w:pPr>
            <w:r>
              <w:rPr>
                <w:lang w:val="en-US"/>
              </w:rPr>
              <w:t>PN-EN 13924-2:</w:t>
            </w:r>
          </w:p>
          <w:p w:rsidR="00CD292D" w:rsidRDefault="00CD292D">
            <w:pPr>
              <w:rPr>
                <w:lang w:val="en-US"/>
              </w:rPr>
            </w:pPr>
            <w:r>
              <w:rPr>
                <w:lang w:val="en-US"/>
              </w:rPr>
              <w:t>2014-04/Ap1:</w:t>
            </w:r>
          </w:p>
          <w:p w:rsidR="00CD292D" w:rsidRDefault="00CD292D">
            <w:pPr>
              <w:rPr>
                <w:lang w:val="en-US"/>
              </w:rPr>
            </w:pPr>
            <w:r>
              <w:rPr>
                <w:lang w:val="en-US"/>
              </w:rPr>
              <w:t>2014-07 i PN-EN 13924-2:2014-04/Ap2:2015-09E</w:t>
            </w:r>
          </w:p>
        </w:tc>
        <w:tc>
          <w:tcPr>
            <w:tcW w:w="7480" w:type="dxa"/>
            <w:tcMar>
              <w:top w:w="0" w:type="dxa"/>
              <w:left w:w="108" w:type="dxa"/>
              <w:bottom w:w="0" w:type="dxa"/>
              <w:right w:w="108" w:type="dxa"/>
            </w:tcMar>
            <w:hideMark/>
          </w:tcPr>
          <w:p w:rsidR="00CD292D" w:rsidRDefault="00CD292D">
            <w:r>
              <w:t>Asfalty i lepiszcza asfaltowe - Zasady klasyfikacji asfaltów drogowych specjalnych - Część 2: Asfalty drogowe wielorodzajowe. Załącznik krajowy NA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66.</w:t>
            </w:r>
          </w:p>
        </w:tc>
        <w:tc>
          <w:tcPr>
            <w:tcW w:w="2236" w:type="dxa"/>
            <w:tcMar>
              <w:top w:w="0" w:type="dxa"/>
              <w:left w:w="108" w:type="dxa"/>
              <w:bottom w:w="0" w:type="dxa"/>
              <w:right w:w="108" w:type="dxa"/>
            </w:tcMar>
            <w:hideMark/>
          </w:tcPr>
          <w:p w:rsidR="00CD292D" w:rsidRDefault="00CD292D">
            <w:r>
              <w:t>PN-EN 14023</w:t>
            </w:r>
          </w:p>
        </w:tc>
        <w:tc>
          <w:tcPr>
            <w:tcW w:w="7480" w:type="dxa"/>
            <w:tcMar>
              <w:top w:w="0" w:type="dxa"/>
              <w:left w:w="108" w:type="dxa"/>
              <w:bottom w:w="0" w:type="dxa"/>
              <w:right w:w="108" w:type="dxa"/>
            </w:tcMar>
            <w:hideMark/>
          </w:tcPr>
          <w:p w:rsidR="00CD292D" w:rsidRDefault="00CD292D">
            <w:r>
              <w:t>Asfalty i lepiszcza asfaltowe – Zasady specyfikacji asfaltów modyfikowanych polimerami</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66a.</w:t>
            </w:r>
          </w:p>
        </w:tc>
        <w:tc>
          <w:tcPr>
            <w:tcW w:w="2236" w:type="dxa"/>
            <w:tcMar>
              <w:top w:w="0" w:type="dxa"/>
              <w:left w:w="108" w:type="dxa"/>
              <w:bottom w:w="0" w:type="dxa"/>
              <w:right w:w="108" w:type="dxa"/>
            </w:tcMar>
            <w:hideMark/>
          </w:tcPr>
          <w:p w:rsidR="00CD292D" w:rsidRDefault="00CD292D">
            <w:r>
              <w:t>PN-EN 14023:2011/Ap1:</w:t>
            </w:r>
          </w:p>
          <w:p w:rsidR="00CD292D" w:rsidRDefault="00CD292D">
            <w:r>
              <w:t>2014-04</w:t>
            </w:r>
          </w:p>
        </w:tc>
        <w:tc>
          <w:tcPr>
            <w:tcW w:w="7480" w:type="dxa"/>
            <w:tcMar>
              <w:top w:w="0" w:type="dxa"/>
              <w:left w:w="108" w:type="dxa"/>
              <w:bottom w:w="0" w:type="dxa"/>
              <w:right w:w="108" w:type="dxa"/>
            </w:tcMar>
            <w:hideMark/>
          </w:tcPr>
          <w:p w:rsidR="00CD292D" w:rsidRDefault="00CD292D">
            <w:r>
              <w:t>Asfalty i lepiszcza asfaltowe – Zasady klasyfikacji asfaltów modyfikowanych polimerami. Załącznik krajowy NA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67.</w:t>
            </w:r>
          </w:p>
        </w:tc>
        <w:tc>
          <w:tcPr>
            <w:tcW w:w="2236" w:type="dxa"/>
            <w:tcMar>
              <w:top w:w="0" w:type="dxa"/>
              <w:left w:w="108" w:type="dxa"/>
              <w:bottom w:w="0" w:type="dxa"/>
              <w:right w:w="108" w:type="dxa"/>
            </w:tcMar>
            <w:hideMark/>
          </w:tcPr>
          <w:p w:rsidR="00CD292D" w:rsidRDefault="00CD292D">
            <w:r>
              <w:t>PN-EN 14188-1</w:t>
            </w:r>
          </w:p>
        </w:tc>
        <w:tc>
          <w:tcPr>
            <w:tcW w:w="7480" w:type="dxa"/>
            <w:tcMar>
              <w:top w:w="0" w:type="dxa"/>
              <w:left w:w="108" w:type="dxa"/>
              <w:bottom w:w="0" w:type="dxa"/>
              <w:right w:w="108" w:type="dxa"/>
            </w:tcMar>
            <w:hideMark/>
          </w:tcPr>
          <w:p w:rsidR="00CD292D" w:rsidRDefault="00CD292D">
            <w:r>
              <w:t>Wypełniacze szczelin i zalewy drogowe – Część 1: Wymagania wobec zalew drogowych na gorąco</w:t>
            </w:r>
          </w:p>
        </w:tc>
      </w:tr>
      <w:tr w:rsidR="00CD292D" w:rsidTr="00CD292D">
        <w:tc>
          <w:tcPr>
            <w:tcW w:w="632" w:type="dxa"/>
            <w:gridSpan w:val="2"/>
            <w:tcMar>
              <w:top w:w="0" w:type="dxa"/>
              <w:left w:w="108" w:type="dxa"/>
              <w:bottom w:w="0" w:type="dxa"/>
              <w:right w:w="108" w:type="dxa"/>
            </w:tcMar>
            <w:hideMark/>
          </w:tcPr>
          <w:p w:rsidR="00CD292D" w:rsidRDefault="00CD292D">
            <w:pPr>
              <w:jc w:val="right"/>
            </w:pPr>
            <w:r>
              <w:lastRenderedPageBreak/>
              <w:t>68.</w:t>
            </w:r>
          </w:p>
        </w:tc>
        <w:tc>
          <w:tcPr>
            <w:tcW w:w="2236" w:type="dxa"/>
            <w:tcMar>
              <w:top w:w="0" w:type="dxa"/>
              <w:left w:w="108" w:type="dxa"/>
              <w:bottom w:w="0" w:type="dxa"/>
              <w:right w:w="108" w:type="dxa"/>
            </w:tcMar>
            <w:hideMark/>
          </w:tcPr>
          <w:p w:rsidR="00CD292D" w:rsidRDefault="00CD292D">
            <w:r>
              <w:t>PN-EN 14188-2</w:t>
            </w:r>
          </w:p>
        </w:tc>
        <w:tc>
          <w:tcPr>
            <w:tcW w:w="7480" w:type="dxa"/>
            <w:tcMar>
              <w:top w:w="0" w:type="dxa"/>
              <w:left w:w="108" w:type="dxa"/>
              <w:bottom w:w="0" w:type="dxa"/>
              <w:right w:w="108" w:type="dxa"/>
            </w:tcMar>
            <w:hideMark/>
          </w:tcPr>
          <w:p w:rsidR="00CD292D" w:rsidRDefault="00CD292D">
            <w:r>
              <w:t>Wypełniacze szczelin i zalewy drogowe – Część 2: Wymagania wobec zalew drogowych na zimno</w:t>
            </w:r>
          </w:p>
        </w:tc>
      </w:tr>
      <w:tr w:rsidR="00CD292D" w:rsidTr="00CD292D">
        <w:tc>
          <w:tcPr>
            <w:tcW w:w="632" w:type="dxa"/>
            <w:gridSpan w:val="2"/>
            <w:tcMar>
              <w:top w:w="0" w:type="dxa"/>
              <w:left w:w="108" w:type="dxa"/>
              <w:bottom w:w="0" w:type="dxa"/>
              <w:right w:w="108" w:type="dxa"/>
            </w:tcMar>
            <w:hideMark/>
          </w:tcPr>
          <w:p w:rsidR="00CD292D" w:rsidRDefault="00CD292D">
            <w:pPr>
              <w:jc w:val="right"/>
            </w:pPr>
            <w:r>
              <w:t>69.</w:t>
            </w:r>
          </w:p>
        </w:tc>
        <w:tc>
          <w:tcPr>
            <w:tcW w:w="2236" w:type="dxa"/>
            <w:tcMar>
              <w:top w:w="0" w:type="dxa"/>
              <w:left w:w="108" w:type="dxa"/>
              <w:bottom w:w="0" w:type="dxa"/>
              <w:right w:w="108" w:type="dxa"/>
            </w:tcMar>
            <w:hideMark/>
          </w:tcPr>
          <w:p w:rsidR="00CD292D" w:rsidRDefault="00CD292D">
            <w:r>
              <w:t>PN-EN 22592</w:t>
            </w:r>
          </w:p>
        </w:tc>
        <w:tc>
          <w:tcPr>
            <w:tcW w:w="7480" w:type="dxa"/>
            <w:tcMar>
              <w:top w:w="0" w:type="dxa"/>
              <w:left w:w="108" w:type="dxa"/>
              <w:bottom w:w="0" w:type="dxa"/>
              <w:right w:w="108" w:type="dxa"/>
            </w:tcMar>
            <w:hideMark/>
          </w:tcPr>
          <w:p w:rsidR="00CD292D" w:rsidRDefault="00CD292D">
            <w:r>
              <w:t>Przetwory naftowe – Oznaczanie temperatury zapłonu i palenia – Pomiar metodą otwartego tygla Clevelanda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70.</w:t>
            </w:r>
          </w:p>
        </w:tc>
        <w:tc>
          <w:tcPr>
            <w:tcW w:w="2236" w:type="dxa"/>
            <w:tcMar>
              <w:top w:w="0" w:type="dxa"/>
              <w:left w:w="108" w:type="dxa"/>
              <w:bottom w:w="0" w:type="dxa"/>
              <w:right w:w="108" w:type="dxa"/>
            </w:tcMar>
            <w:hideMark/>
          </w:tcPr>
          <w:p w:rsidR="00CD292D" w:rsidRDefault="00CD292D">
            <w:r>
              <w:t>PN-EN ISO 2592</w:t>
            </w:r>
          </w:p>
        </w:tc>
        <w:tc>
          <w:tcPr>
            <w:tcW w:w="7480" w:type="dxa"/>
            <w:tcMar>
              <w:top w:w="0" w:type="dxa"/>
              <w:left w:w="108" w:type="dxa"/>
              <w:bottom w:w="0" w:type="dxa"/>
              <w:right w:w="108" w:type="dxa"/>
            </w:tcMar>
            <w:hideMark/>
          </w:tcPr>
          <w:p w:rsidR="00CD292D" w:rsidRDefault="00CD292D">
            <w:r>
              <w:t>Oznaczanie temperatury zapłonu i palenia – Metoda otwartego tygla Clevelanda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71.</w:t>
            </w:r>
          </w:p>
        </w:tc>
        <w:tc>
          <w:tcPr>
            <w:tcW w:w="2236" w:type="dxa"/>
            <w:tcMar>
              <w:top w:w="0" w:type="dxa"/>
              <w:left w:w="108" w:type="dxa"/>
              <w:bottom w:w="0" w:type="dxa"/>
              <w:right w:w="108" w:type="dxa"/>
            </w:tcMar>
            <w:hideMark/>
          </w:tcPr>
          <w:p w:rsidR="00CD292D" w:rsidRDefault="00CD292D">
            <w:r>
              <w:t>PN-EN 13880-2</w:t>
            </w:r>
          </w:p>
        </w:tc>
        <w:tc>
          <w:tcPr>
            <w:tcW w:w="7480" w:type="dxa"/>
            <w:tcMar>
              <w:top w:w="0" w:type="dxa"/>
              <w:left w:w="108" w:type="dxa"/>
              <w:bottom w:w="0" w:type="dxa"/>
              <w:right w:w="108" w:type="dxa"/>
            </w:tcMar>
            <w:hideMark/>
          </w:tcPr>
          <w:p w:rsidR="00CD292D" w:rsidRDefault="00CD292D">
            <w:r>
              <w:t>Zalewy szczelin na gorąco -- Część 2: Metoda badania dla określenia penetracji stożka w temperaturze 25 C</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72.</w:t>
            </w:r>
          </w:p>
        </w:tc>
        <w:tc>
          <w:tcPr>
            <w:tcW w:w="2236" w:type="dxa"/>
            <w:tcMar>
              <w:top w:w="0" w:type="dxa"/>
              <w:left w:w="108" w:type="dxa"/>
              <w:bottom w:w="0" w:type="dxa"/>
              <w:right w:w="108" w:type="dxa"/>
            </w:tcMar>
            <w:hideMark/>
          </w:tcPr>
          <w:p w:rsidR="00CD292D" w:rsidRDefault="00CD292D">
            <w:r>
              <w:t>PN-EN 13880-3</w:t>
            </w:r>
          </w:p>
        </w:tc>
        <w:tc>
          <w:tcPr>
            <w:tcW w:w="7480" w:type="dxa"/>
            <w:tcMar>
              <w:top w:w="0" w:type="dxa"/>
              <w:left w:w="108" w:type="dxa"/>
              <w:bottom w:w="0" w:type="dxa"/>
              <w:right w:w="108" w:type="dxa"/>
            </w:tcMar>
            <w:hideMark/>
          </w:tcPr>
          <w:p w:rsidR="00CD292D" w:rsidRDefault="00CD292D">
            <w:r>
              <w:t>Zalewy szczelin na gorąco -- Część 3: Metoda badania określająca penetrację i odprężenie sprężyste (odbojność)</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73.</w:t>
            </w:r>
          </w:p>
        </w:tc>
        <w:tc>
          <w:tcPr>
            <w:tcW w:w="2236" w:type="dxa"/>
            <w:tcMar>
              <w:top w:w="0" w:type="dxa"/>
              <w:left w:w="108" w:type="dxa"/>
              <w:bottom w:w="0" w:type="dxa"/>
              <w:right w:w="108" w:type="dxa"/>
            </w:tcMar>
            <w:hideMark/>
          </w:tcPr>
          <w:p w:rsidR="00CD292D" w:rsidRDefault="00CD292D">
            <w:r>
              <w:t>PN-EN 13880-5</w:t>
            </w:r>
          </w:p>
        </w:tc>
        <w:tc>
          <w:tcPr>
            <w:tcW w:w="7480" w:type="dxa"/>
            <w:tcMar>
              <w:top w:w="0" w:type="dxa"/>
              <w:left w:w="108" w:type="dxa"/>
              <w:bottom w:w="0" w:type="dxa"/>
              <w:right w:w="108" w:type="dxa"/>
            </w:tcMar>
            <w:hideMark/>
          </w:tcPr>
          <w:p w:rsidR="00CD292D" w:rsidRDefault="00CD292D">
            <w:r>
              <w:t>Zalewy szczelin na gorąco -- Część 5: Metody badań do oznaczania odporności na spływanie</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74.</w:t>
            </w:r>
          </w:p>
        </w:tc>
        <w:tc>
          <w:tcPr>
            <w:tcW w:w="2236" w:type="dxa"/>
            <w:tcMar>
              <w:top w:w="0" w:type="dxa"/>
              <w:left w:w="108" w:type="dxa"/>
              <w:bottom w:w="0" w:type="dxa"/>
              <w:right w:w="108" w:type="dxa"/>
            </w:tcMar>
            <w:hideMark/>
          </w:tcPr>
          <w:p w:rsidR="00CD292D" w:rsidRDefault="00CD292D">
            <w:r>
              <w:t>PN-EN 13880-6</w:t>
            </w:r>
          </w:p>
        </w:tc>
        <w:tc>
          <w:tcPr>
            <w:tcW w:w="7480" w:type="dxa"/>
            <w:tcMar>
              <w:top w:w="0" w:type="dxa"/>
              <w:left w:w="108" w:type="dxa"/>
              <w:bottom w:w="0" w:type="dxa"/>
              <w:right w:w="108" w:type="dxa"/>
            </w:tcMar>
            <w:hideMark/>
          </w:tcPr>
          <w:p w:rsidR="00CD292D" w:rsidRDefault="00CD292D">
            <w:r>
              <w:t>Zalewy szczelin na gorąco -- Część 6: Metoda przygotowania próbek do badania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75.</w:t>
            </w:r>
          </w:p>
        </w:tc>
        <w:tc>
          <w:tcPr>
            <w:tcW w:w="2236" w:type="dxa"/>
            <w:tcMar>
              <w:top w:w="0" w:type="dxa"/>
              <w:left w:w="108" w:type="dxa"/>
              <w:bottom w:w="0" w:type="dxa"/>
              <w:right w:w="108" w:type="dxa"/>
            </w:tcMar>
            <w:hideMark/>
          </w:tcPr>
          <w:p w:rsidR="00CD292D" w:rsidRDefault="00CD292D">
            <w:r>
              <w:t>PN-EN 13880-13</w:t>
            </w:r>
          </w:p>
        </w:tc>
        <w:tc>
          <w:tcPr>
            <w:tcW w:w="7480" w:type="dxa"/>
            <w:tcMar>
              <w:top w:w="0" w:type="dxa"/>
              <w:left w:w="108" w:type="dxa"/>
              <w:bottom w:w="0" w:type="dxa"/>
              <w:right w:w="108" w:type="dxa"/>
            </w:tcMar>
            <w:hideMark/>
          </w:tcPr>
          <w:p w:rsidR="00CD292D" w:rsidRDefault="00CD292D">
            <w:r>
              <w:t>Zalewy szczelin na gorąco -- Część 13: Metoda badania służąca do określenia wydłużenia nieciągłego (próba przyczepności)</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76.</w:t>
            </w:r>
          </w:p>
        </w:tc>
        <w:tc>
          <w:tcPr>
            <w:tcW w:w="2236" w:type="dxa"/>
            <w:tcMar>
              <w:top w:w="0" w:type="dxa"/>
              <w:left w:w="108" w:type="dxa"/>
              <w:bottom w:w="0" w:type="dxa"/>
              <w:right w:w="108" w:type="dxa"/>
            </w:tcMar>
            <w:hideMark/>
          </w:tcPr>
          <w:p w:rsidR="00CD292D" w:rsidRDefault="00CD292D">
            <w:r>
              <w:t>DIN 52123</w:t>
            </w:r>
          </w:p>
        </w:tc>
        <w:tc>
          <w:tcPr>
            <w:tcW w:w="7480" w:type="dxa"/>
            <w:tcMar>
              <w:top w:w="0" w:type="dxa"/>
              <w:left w:w="108" w:type="dxa"/>
              <w:bottom w:w="0" w:type="dxa"/>
              <w:right w:w="108" w:type="dxa"/>
            </w:tcMar>
            <w:hideMark/>
          </w:tcPr>
          <w:p w:rsidR="00CD292D" w:rsidRDefault="00CD292D">
            <w:pPr>
              <w:pStyle w:val="Nagwek2"/>
              <w:rPr>
                <w:rFonts w:eastAsia="Times New Roman"/>
              </w:rPr>
            </w:pPr>
            <w:r>
              <w:rPr>
                <w:rStyle w:val="value"/>
                <w:rFonts w:eastAsia="Times New Roman"/>
                <w:b w:val="0"/>
                <w:bCs/>
              </w:rPr>
              <w:t>Prüfung von Bitumen- und Polymerbitumenbahnen (Badanie taśm bitumicznych i polimerowo-bitumicznych)</w:t>
            </w:r>
          </w:p>
        </w:tc>
      </w:tr>
      <w:tr w:rsidR="00CD292D" w:rsidTr="00CD292D">
        <w:tc>
          <w:tcPr>
            <w:tcW w:w="632" w:type="dxa"/>
            <w:gridSpan w:val="2"/>
            <w:tcMar>
              <w:top w:w="0" w:type="dxa"/>
              <w:left w:w="108" w:type="dxa"/>
              <w:bottom w:w="0" w:type="dxa"/>
              <w:right w:w="108" w:type="dxa"/>
            </w:tcMar>
            <w:hideMark/>
          </w:tcPr>
          <w:p w:rsidR="00CD292D" w:rsidRDefault="00CD292D">
            <w:pPr>
              <w:jc w:val="right"/>
              <w:rPr>
                <w:rFonts w:eastAsiaTheme="minorEastAsia"/>
              </w:rPr>
            </w:pPr>
            <w:r>
              <w:t>77.</w:t>
            </w:r>
          </w:p>
        </w:tc>
        <w:tc>
          <w:tcPr>
            <w:tcW w:w="2236" w:type="dxa"/>
            <w:tcMar>
              <w:top w:w="0" w:type="dxa"/>
              <w:left w:w="108" w:type="dxa"/>
              <w:bottom w:w="0" w:type="dxa"/>
              <w:right w:w="108" w:type="dxa"/>
            </w:tcMar>
            <w:hideMark/>
          </w:tcPr>
          <w:p w:rsidR="00CD292D" w:rsidRDefault="00CD292D">
            <w:r>
              <w:t>PN-EN 1425</w:t>
            </w:r>
          </w:p>
        </w:tc>
        <w:tc>
          <w:tcPr>
            <w:tcW w:w="7480" w:type="dxa"/>
            <w:tcMar>
              <w:top w:w="0" w:type="dxa"/>
              <w:left w:w="108" w:type="dxa"/>
              <w:bottom w:w="0" w:type="dxa"/>
              <w:right w:w="108" w:type="dxa"/>
            </w:tcMar>
            <w:hideMark/>
          </w:tcPr>
          <w:p w:rsidR="00CD292D" w:rsidRDefault="00CD292D">
            <w:pPr>
              <w:pStyle w:val="Nagwek2"/>
              <w:rPr>
                <w:rFonts w:eastAsia="Times New Roman"/>
              </w:rPr>
            </w:pPr>
            <w:r>
              <w:rPr>
                <w:rFonts w:eastAsia="Times New Roman"/>
                <w:b w:val="0"/>
                <w:bCs/>
              </w:rPr>
              <w:t>Asfalty i lepiszcza asfaltowe -- Ocena organoleptyczna</w:t>
            </w:r>
          </w:p>
        </w:tc>
      </w:tr>
      <w:tr w:rsidR="00CD292D" w:rsidTr="00CD292D">
        <w:tc>
          <w:tcPr>
            <w:tcW w:w="632" w:type="dxa"/>
            <w:gridSpan w:val="2"/>
            <w:tcMar>
              <w:top w:w="0" w:type="dxa"/>
              <w:left w:w="108" w:type="dxa"/>
              <w:bottom w:w="0" w:type="dxa"/>
              <w:right w:w="108" w:type="dxa"/>
            </w:tcMar>
            <w:hideMark/>
          </w:tcPr>
          <w:p w:rsidR="00CD292D" w:rsidRDefault="00CD292D">
            <w:pPr>
              <w:jc w:val="right"/>
              <w:rPr>
                <w:rFonts w:eastAsiaTheme="minorEastAsia"/>
              </w:rPr>
            </w:pPr>
            <w:r>
              <w:t>78.</w:t>
            </w:r>
          </w:p>
        </w:tc>
        <w:tc>
          <w:tcPr>
            <w:tcW w:w="2236" w:type="dxa"/>
            <w:tcMar>
              <w:top w:w="0" w:type="dxa"/>
              <w:left w:w="108" w:type="dxa"/>
              <w:bottom w:w="0" w:type="dxa"/>
              <w:right w:w="108" w:type="dxa"/>
            </w:tcMar>
            <w:hideMark/>
          </w:tcPr>
          <w:p w:rsidR="00CD292D" w:rsidRDefault="00CD292D">
            <w:r>
              <w:t>PN-EN 1428</w:t>
            </w:r>
          </w:p>
        </w:tc>
        <w:tc>
          <w:tcPr>
            <w:tcW w:w="7480" w:type="dxa"/>
            <w:tcMar>
              <w:top w:w="0" w:type="dxa"/>
              <w:left w:w="108" w:type="dxa"/>
              <w:bottom w:w="0" w:type="dxa"/>
              <w:right w:w="108" w:type="dxa"/>
            </w:tcMar>
            <w:hideMark/>
          </w:tcPr>
          <w:p w:rsidR="00CD292D" w:rsidRDefault="00CD292D">
            <w:r>
              <w:t>Asfalty i lepiszcza asfaltowe -- Oznaczanie zawartości wody w emulsjach asfaltowych -- Metoda destylacji azeotropowej</w:t>
            </w:r>
          </w:p>
        </w:tc>
      </w:tr>
      <w:tr w:rsidR="00CD292D" w:rsidTr="00CD292D">
        <w:tc>
          <w:tcPr>
            <w:tcW w:w="632" w:type="dxa"/>
            <w:gridSpan w:val="2"/>
            <w:tcMar>
              <w:top w:w="0" w:type="dxa"/>
              <w:left w:w="108" w:type="dxa"/>
              <w:bottom w:w="0" w:type="dxa"/>
              <w:right w:w="108" w:type="dxa"/>
            </w:tcMar>
            <w:hideMark/>
          </w:tcPr>
          <w:p w:rsidR="00CD292D" w:rsidRDefault="00CD292D">
            <w:pPr>
              <w:jc w:val="right"/>
            </w:pPr>
            <w:r>
              <w:t>79.</w:t>
            </w:r>
          </w:p>
        </w:tc>
        <w:tc>
          <w:tcPr>
            <w:tcW w:w="2236" w:type="dxa"/>
            <w:tcMar>
              <w:top w:w="0" w:type="dxa"/>
              <w:left w:w="108" w:type="dxa"/>
              <w:bottom w:w="0" w:type="dxa"/>
              <w:right w:w="108" w:type="dxa"/>
            </w:tcMar>
            <w:hideMark/>
          </w:tcPr>
          <w:p w:rsidR="00CD292D" w:rsidRDefault="00CD292D">
            <w:r>
              <w:t>PN-EN 13074-1</w:t>
            </w:r>
          </w:p>
        </w:tc>
        <w:tc>
          <w:tcPr>
            <w:tcW w:w="7480" w:type="dxa"/>
            <w:tcMar>
              <w:top w:w="0" w:type="dxa"/>
              <w:left w:w="108" w:type="dxa"/>
              <w:bottom w:w="0" w:type="dxa"/>
              <w:right w:w="108" w:type="dxa"/>
            </w:tcMar>
            <w:hideMark/>
          </w:tcPr>
          <w:p w:rsidR="00CD292D" w:rsidRDefault="00CD292D">
            <w:r>
              <w:t>Asfalty i lepiszcza asfaltowe -- Odzyskiwanie lepiszcza z emulsji asfaltowych lub asfaltów upłynnionych lub fluksowanych -- Część 1: Odzyskiwanie metodą odparowania</w:t>
            </w:r>
          </w:p>
        </w:tc>
      </w:tr>
      <w:tr w:rsidR="00CD292D" w:rsidTr="00CD292D">
        <w:tc>
          <w:tcPr>
            <w:tcW w:w="632" w:type="dxa"/>
            <w:gridSpan w:val="2"/>
            <w:tcMar>
              <w:top w:w="0" w:type="dxa"/>
              <w:left w:w="108" w:type="dxa"/>
              <w:bottom w:w="0" w:type="dxa"/>
              <w:right w:w="108" w:type="dxa"/>
            </w:tcMar>
            <w:hideMark/>
          </w:tcPr>
          <w:p w:rsidR="00CD292D" w:rsidRDefault="00CD292D">
            <w:pPr>
              <w:jc w:val="right"/>
            </w:pPr>
            <w:r>
              <w:t>80.</w:t>
            </w:r>
          </w:p>
        </w:tc>
        <w:tc>
          <w:tcPr>
            <w:tcW w:w="2236" w:type="dxa"/>
            <w:tcMar>
              <w:top w:w="0" w:type="dxa"/>
              <w:left w:w="108" w:type="dxa"/>
              <w:bottom w:w="0" w:type="dxa"/>
              <w:right w:w="108" w:type="dxa"/>
            </w:tcMar>
            <w:hideMark/>
          </w:tcPr>
          <w:p w:rsidR="00CD292D" w:rsidRDefault="00CD292D">
            <w:r>
              <w:t>PN-EN 13074-2</w:t>
            </w:r>
          </w:p>
        </w:tc>
        <w:tc>
          <w:tcPr>
            <w:tcW w:w="7480" w:type="dxa"/>
            <w:tcMar>
              <w:top w:w="0" w:type="dxa"/>
              <w:left w:w="108" w:type="dxa"/>
              <w:bottom w:w="0" w:type="dxa"/>
              <w:right w:w="108" w:type="dxa"/>
            </w:tcMar>
            <w:hideMark/>
          </w:tcPr>
          <w:p w:rsidR="00CD292D" w:rsidRDefault="00CD292D">
            <w:r>
              <w:t>Asfalty i lepiszcza asfaltowe -- Odzyskiwanie lepiszcza z emulsji asfaltowych lub asfaltów upłynnionych lub fluksowanych -- Część 2: Stabilizacja po odzyskaniu metodą odparowania</w:t>
            </w:r>
          </w:p>
        </w:tc>
      </w:tr>
      <w:tr w:rsidR="00CD292D" w:rsidTr="00CD292D">
        <w:tc>
          <w:tcPr>
            <w:tcW w:w="615" w:type="dxa"/>
            <w:vAlign w:val="center"/>
            <w:hideMark/>
          </w:tcPr>
          <w:p w:rsidR="00CD292D" w:rsidRDefault="00CD292D"/>
        </w:tc>
        <w:tc>
          <w:tcPr>
            <w:tcW w:w="15" w:type="dxa"/>
            <w:vAlign w:val="center"/>
            <w:hideMark/>
          </w:tcPr>
          <w:p w:rsidR="00CD292D" w:rsidRDefault="00CD292D">
            <w:pPr>
              <w:rPr>
                <w:rFonts w:eastAsia="Times New Roman"/>
                <w:sz w:val="20"/>
                <w:szCs w:val="20"/>
              </w:rPr>
            </w:pPr>
          </w:p>
        </w:tc>
        <w:tc>
          <w:tcPr>
            <w:tcW w:w="2235" w:type="dxa"/>
            <w:vAlign w:val="center"/>
            <w:hideMark/>
          </w:tcPr>
          <w:p w:rsidR="00CD292D" w:rsidRDefault="00CD292D">
            <w:pPr>
              <w:rPr>
                <w:rFonts w:eastAsia="Times New Roman"/>
                <w:sz w:val="20"/>
                <w:szCs w:val="20"/>
              </w:rPr>
            </w:pPr>
          </w:p>
        </w:tc>
        <w:tc>
          <w:tcPr>
            <w:tcW w:w="7485" w:type="dxa"/>
            <w:vAlign w:val="center"/>
            <w:hideMark/>
          </w:tcPr>
          <w:p w:rsidR="00CD292D" w:rsidRDefault="00CD292D">
            <w:pPr>
              <w:rPr>
                <w:rFonts w:eastAsia="Times New Roman"/>
                <w:sz w:val="20"/>
                <w:szCs w:val="20"/>
              </w:rPr>
            </w:pPr>
          </w:p>
        </w:tc>
      </w:tr>
    </w:tbl>
    <w:p w:rsidR="00CD292D" w:rsidRDefault="00CD292D" w:rsidP="00CD292D">
      <w:pPr>
        <w:pStyle w:val="Nagwek2"/>
        <w:rPr>
          <w:rFonts w:eastAsia="Times New Roman"/>
          <w:sz w:val="24"/>
          <w:szCs w:val="24"/>
        </w:rPr>
      </w:pPr>
      <w:r>
        <w:rPr>
          <w:rFonts w:eastAsia="Times New Roman"/>
        </w:rPr>
        <w:t xml:space="preserve">10.3. Wymagania techniczne </w:t>
      </w:r>
    </w:p>
    <w:p w:rsidR="00CD292D" w:rsidRDefault="00CD292D" w:rsidP="00CD292D">
      <w:pPr>
        <w:ind w:left="709" w:hanging="709"/>
        <w:rPr>
          <w:rFonts w:eastAsiaTheme="minorEastAsia"/>
        </w:rPr>
      </w:pPr>
      <w:r>
        <w:rPr>
          <w:sz w:val="14"/>
          <w:szCs w:val="14"/>
        </w:rPr>
        <w:t xml:space="preserve">       </w:t>
      </w:r>
      <w:r>
        <w:t xml:space="preserve">81. </w:t>
      </w:r>
      <w:r>
        <w:rPr>
          <w:sz w:val="14"/>
          <w:szCs w:val="14"/>
        </w:rPr>
        <w:t xml:space="preserve">     </w:t>
      </w:r>
      <w: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CD292D" w:rsidRDefault="00CD292D" w:rsidP="00CD292D">
      <w:pPr>
        <w:ind w:left="709" w:hanging="709"/>
      </w:pPr>
      <w:r>
        <w:rPr>
          <w:sz w:val="14"/>
          <w:szCs w:val="14"/>
        </w:rPr>
        <w:t xml:space="preserve">       </w:t>
      </w:r>
      <w:r>
        <w:t xml:space="preserve">82. </w:t>
      </w:r>
      <w:r>
        <w:rPr>
          <w:sz w:val="14"/>
          <w:szCs w:val="14"/>
        </w:rPr>
        <w:t xml:space="preserve">     </w:t>
      </w:r>
      <w: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CD292D" w:rsidRDefault="00CD292D" w:rsidP="00CD292D">
      <w:pPr>
        <w:ind w:left="709" w:hanging="709"/>
      </w:pPr>
      <w:r>
        <w:rPr>
          <w:sz w:val="14"/>
          <w:szCs w:val="14"/>
        </w:rPr>
        <w:t xml:space="preserve">       </w:t>
      </w:r>
      <w:r>
        <w:t xml:space="preserve">83. </w:t>
      </w:r>
      <w:r>
        <w:rPr>
          <w:sz w:val="14"/>
          <w:szCs w:val="14"/>
        </w:rPr>
        <w:t xml:space="preserve">     </w:t>
      </w:r>
      <w:r>
        <w:t xml:space="preserve">Nawierzchnie asfaltowe na drogach krajowych - WT-2 2016 – część II - Wykonanie warstw nawierzchni asfaltowych. Wymagania Techniczne. Załącznik do Zarządzenia nr 7 Generalnego Dyrektora Dróg Krajowych i Autostrad z dnia 9 maja 2016 roku zmieniającego zarządzenie w </w:t>
      </w:r>
      <w:r>
        <w:lastRenderedPageBreak/>
        <w:t>sprawie stosowania wymagań technicznych na drogach krajowych dotyczących mieszanek mineralno-asfaltowych.</w:t>
      </w:r>
    </w:p>
    <w:p w:rsidR="00CD292D" w:rsidRDefault="00CD292D" w:rsidP="00CD292D">
      <w:pPr>
        <w:ind w:left="709" w:hanging="709"/>
      </w:pPr>
      <w:r>
        <w:rPr>
          <w:sz w:val="14"/>
          <w:szCs w:val="14"/>
        </w:rPr>
        <w:t xml:space="preserve">       </w:t>
      </w:r>
      <w:r>
        <w:t xml:space="preserve">84. </w:t>
      </w:r>
      <w:r>
        <w:rPr>
          <w:sz w:val="14"/>
          <w:szCs w:val="14"/>
        </w:rPr>
        <w:t xml:space="preserve">     </w:t>
      </w:r>
      <w:r>
        <w:t>Katalog typowych konstrukcji nawierzchni podatnych i półsztywnych. Załącznik do Zarządzenia nr 31 Generalnego Dyrektora Dróg Krajowych i Autostrad z dnia 16 czerwca 2014 r.</w:t>
      </w:r>
    </w:p>
    <w:p w:rsidR="00CD292D" w:rsidRDefault="00CD292D" w:rsidP="00CD292D">
      <w:pPr>
        <w:pStyle w:val="Nagwek2"/>
        <w:rPr>
          <w:rFonts w:eastAsia="Times New Roman"/>
        </w:rPr>
      </w:pPr>
      <w:r>
        <w:rPr>
          <w:rFonts w:eastAsia="Times New Roman"/>
        </w:rPr>
        <w:t>10.4. Inne dokumenty</w:t>
      </w:r>
    </w:p>
    <w:p w:rsidR="00CD292D" w:rsidRDefault="00CD292D" w:rsidP="00CD292D">
      <w:pPr>
        <w:ind w:left="709" w:hanging="709"/>
        <w:rPr>
          <w:rFonts w:eastAsiaTheme="minorEastAsia"/>
        </w:rPr>
      </w:pPr>
      <w:r>
        <w:rPr>
          <w:sz w:val="14"/>
          <w:szCs w:val="14"/>
        </w:rPr>
        <w:t xml:space="preserve">       </w:t>
      </w:r>
      <w:r>
        <w:t xml:space="preserve">85. </w:t>
      </w:r>
      <w:r>
        <w:rPr>
          <w:sz w:val="14"/>
          <w:szCs w:val="14"/>
        </w:rPr>
        <w:t xml:space="preserve">     </w:t>
      </w:r>
      <w:r>
        <w:t>Rozporządzenie Ministra Transportu i Gospodarki Morskiej z dnia 2 marca 1999 r. w sprawie warunków technicznych, jakim powinny odpowiadać drogi publiczne i ich usytuowanie (jednolity tekst Dz.U. z 2016, poz. 124)</w:t>
      </w:r>
    </w:p>
    <w:p w:rsidR="00CD292D" w:rsidRDefault="00CD292D" w:rsidP="00CD292D">
      <w:pPr>
        <w:ind w:left="709" w:hanging="709"/>
      </w:pPr>
      <w:r>
        <w:rPr>
          <w:sz w:val="14"/>
          <w:szCs w:val="14"/>
        </w:rPr>
        <w:t xml:space="preserve">       </w:t>
      </w:r>
      <w:r>
        <w:t xml:space="preserve">86. </w:t>
      </w:r>
      <w:r>
        <w:rPr>
          <w:sz w:val="14"/>
          <w:szCs w:val="14"/>
        </w:rPr>
        <w:t xml:space="preserve">     </w:t>
      </w:r>
      <w:r>
        <w:t>Ustawa z dnia 19 sierpnia 2011 r. o przewozie drogowym towarów niebezpiecznych (Dz.U. nr 227, poz. 1367 z późn. zm.)</w:t>
      </w:r>
    </w:p>
    <w:p w:rsidR="00CD292D" w:rsidRDefault="00456B7F" w:rsidP="00456B7F">
      <w:pPr>
        <w:rPr>
          <w:b/>
          <w:sz w:val="28"/>
        </w:rPr>
      </w:pPr>
      <w:r>
        <w:rPr>
          <w:b/>
          <w:sz w:val="28"/>
        </w:rPr>
        <w:t xml:space="preserve">VII - </w:t>
      </w:r>
      <w:r w:rsidR="00CD292D">
        <w:rPr>
          <w:b/>
          <w:sz w:val="28"/>
        </w:rPr>
        <w:t>D - 06.04.01</w:t>
      </w:r>
      <w:r>
        <w:rPr>
          <w:b/>
          <w:sz w:val="28"/>
        </w:rPr>
        <w:t xml:space="preserve"> </w:t>
      </w:r>
      <w:r w:rsidR="00CD292D">
        <w:rPr>
          <w:b/>
          <w:sz w:val="28"/>
        </w:rPr>
        <w:t>ROWY</w:t>
      </w:r>
    </w:p>
    <w:p w:rsidR="00CD292D" w:rsidRDefault="00CD292D" w:rsidP="00CD292D">
      <w:pPr>
        <w:pStyle w:val="Nagwek1"/>
      </w:pPr>
      <w:bookmarkStart w:id="535" w:name="_Toc428169257"/>
      <w:bookmarkStart w:id="536" w:name="_Toc500913940"/>
      <w:r>
        <w:t>. WSTĘP</w:t>
      </w:r>
      <w:bookmarkEnd w:id="535"/>
      <w:bookmarkEnd w:id="536"/>
    </w:p>
    <w:p w:rsidR="00CD292D" w:rsidRDefault="00CD292D" w:rsidP="00CD292D">
      <w:pPr>
        <w:pStyle w:val="Nagwek2"/>
      </w:pPr>
      <w:r>
        <w:t>1.1. Przedmiot OST</w:t>
      </w:r>
    </w:p>
    <w:p w:rsidR="00CD292D" w:rsidRDefault="00CD292D" w:rsidP="00CD292D">
      <w:r>
        <w:rPr>
          <w:b/>
        </w:rPr>
        <w:tab/>
      </w:r>
      <w:r>
        <w:t>Przedmiotem niniejszej ogólnej specyfikacji technicznej (OST) są wymagania dotyczące wykonania i odbioru robót związanych z remontowaniem i utrzymaniem rowów .</w:t>
      </w:r>
    </w:p>
    <w:p w:rsidR="00CD292D" w:rsidRDefault="00CD292D" w:rsidP="00CD292D">
      <w:pPr>
        <w:pStyle w:val="Nagwek2"/>
      </w:pPr>
      <w:r>
        <w:t>1.2. Zakres stosowania OST</w:t>
      </w:r>
    </w:p>
    <w:p w:rsidR="00CD292D" w:rsidRDefault="00CD292D" w:rsidP="00CD292D">
      <w:r>
        <w:rPr>
          <w:b/>
        </w:rPr>
        <w:tab/>
      </w:r>
      <w:r>
        <w:t>Ogólna specyfikacja techniczna (OST) stanowi obowiązującą podstawę opracowania szczegółowej specyfikacji technicznej (SST) stosowanej jako dokument przetargowy i kontraktowy przy zlecaniu i realizacji robót na drogach krajowych i wojewódzkich.</w:t>
      </w:r>
    </w:p>
    <w:p w:rsidR="00CD292D" w:rsidRDefault="00CD292D" w:rsidP="00CD292D">
      <w:r>
        <w:tab/>
        <w:t>Zaleca się wykorzystanie OST przy zlecaniu robót na drogach miejskich i gminnych.</w:t>
      </w:r>
    </w:p>
    <w:p w:rsidR="00CD292D" w:rsidRDefault="00CD292D" w:rsidP="00CD292D">
      <w:pPr>
        <w:pStyle w:val="Nagwek2"/>
      </w:pPr>
      <w:r>
        <w:t>1.3. Zakres robót objętych OST</w:t>
      </w:r>
    </w:p>
    <w:p w:rsidR="00CD292D" w:rsidRDefault="00CD292D" w:rsidP="00CD292D">
      <w:r>
        <w:rPr>
          <w:b/>
        </w:rPr>
        <w:tab/>
      </w:r>
      <w:r>
        <w:t>Ustalenia zawarte w niniejszej specyfikacji dotyczą zasad prowadzenia robót związanych z oczyszczaniem, pogłębianiem oraz profilowaniem dna i skarp rowu.</w:t>
      </w:r>
    </w:p>
    <w:p w:rsidR="00CD292D" w:rsidRDefault="00CD292D" w:rsidP="00CD292D">
      <w:pPr>
        <w:pStyle w:val="Nagwek2"/>
      </w:pPr>
      <w:r>
        <w:t>1.4. Określenia podstawowe</w:t>
      </w:r>
    </w:p>
    <w:p w:rsidR="00CD292D" w:rsidRDefault="00CD292D" w:rsidP="00CD292D">
      <w:r>
        <w:rPr>
          <w:b/>
        </w:rPr>
        <w:t xml:space="preserve">1.4.1. </w:t>
      </w:r>
      <w:r>
        <w:t>Rów - otwarty wykop o głębokości co najmniej 30 cm, który zbiera i odprowadza wodę.</w:t>
      </w:r>
    </w:p>
    <w:p w:rsidR="00CD292D" w:rsidRDefault="00CD292D" w:rsidP="00CD292D">
      <w:pPr>
        <w:spacing w:before="120"/>
      </w:pPr>
      <w:r>
        <w:rPr>
          <w:b/>
        </w:rPr>
        <w:t xml:space="preserve">1.4.2. </w:t>
      </w:r>
      <w:r>
        <w:t>Rów przydrożny - rów zbierający wodę z korony drogi.</w:t>
      </w:r>
    </w:p>
    <w:p w:rsidR="00CD292D" w:rsidRDefault="00CD292D" w:rsidP="00CD292D">
      <w:pPr>
        <w:spacing w:before="120"/>
      </w:pPr>
      <w:r>
        <w:rPr>
          <w:b/>
        </w:rPr>
        <w:t xml:space="preserve">1.4.3. </w:t>
      </w:r>
      <w:r>
        <w:t>Rów odpływowy - rów odprowadzający wodę poza pas drogowy.</w:t>
      </w:r>
    </w:p>
    <w:p w:rsidR="00CD292D" w:rsidRDefault="00CD292D" w:rsidP="00CD292D">
      <w:pPr>
        <w:spacing w:before="120"/>
      </w:pPr>
      <w:r>
        <w:rPr>
          <w:b/>
        </w:rPr>
        <w:t xml:space="preserve">1.4.4. </w:t>
      </w:r>
      <w:r>
        <w:t>Rów stokowy - rów zbierający wodę spływającą ze stoku.</w:t>
      </w:r>
    </w:p>
    <w:p w:rsidR="00CD292D" w:rsidRDefault="00CD292D" w:rsidP="00CD292D">
      <w:pPr>
        <w:spacing w:before="120"/>
      </w:pPr>
      <w:r>
        <w:rPr>
          <w:b/>
        </w:rPr>
        <w:t xml:space="preserve">1.4.5. </w:t>
      </w:r>
      <w:r>
        <w:t>Pozostałe określenia podstawowe są zgodne z obowiązującymi, odpowiednimi polskimi normami i z definicjami podanymi w OST  D-M-00.00.00 „Wymagania ogólne” pkt 1.4.</w:t>
      </w:r>
    </w:p>
    <w:p w:rsidR="00CD292D" w:rsidRDefault="00CD292D" w:rsidP="00CD292D">
      <w:pPr>
        <w:pStyle w:val="Nagwek2"/>
      </w:pPr>
      <w:r>
        <w:t>1.5. Ogólne wymagania dotyczące robót</w:t>
      </w:r>
    </w:p>
    <w:p w:rsidR="00CD292D" w:rsidRDefault="00CD292D" w:rsidP="00CD292D">
      <w:r>
        <w:tab/>
        <w:t>Ogólne wymagania dotyczące robót podano w OST D-M-00.00.00 „Wymagania ogólne” pkt 1.5.</w:t>
      </w:r>
    </w:p>
    <w:p w:rsidR="00CD292D" w:rsidRDefault="00CD292D" w:rsidP="00CD292D">
      <w:pPr>
        <w:pStyle w:val="Nagwek1"/>
      </w:pPr>
      <w:bookmarkStart w:id="537" w:name="_Toc428169258"/>
      <w:bookmarkStart w:id="538" w:name="_Toc500913941"/>
      <w:r>
        <w:t>2. MATERIAŁY</w:t>
      </w:r>
      <w:bookmarkEnd w:id="537"/>
      <w:bookmarkEnd w:id="538"/>
    </w:p>
    <w:p w:rsidR="00CD292D" w:rsidRDefault="00CD292D" w:rsidP="00CD292D">
      <w:r>
        <w:tab/>
        <w:t>Materiały nie występują.</w:t>
      </w:r>
    </w:p>
    <w:p w:rsidR="00CD292D" w:rsidRDefault="00CD292D" w:rsidP="00CD292D">
      <w:pPr>
        <w:pStyle w:val="Nagwek1"/>
      </w:pPr>
      <w:bookmarkStart w:id="539" w:name="_Toc428169259"/>
      <w:bookmarkStart w:id="540" w:name="_Toc500913942"/>
      <w:r>
        <w:lastRenderedPageBreak/>
        <w:t>3. SPRZĘT</w:t>
      </w:r>
      <w:bookmarkEnd w:id="539"/>
      <w:bookmarkEnd w:id="540"/>
    </w:p>
    <w:p w:rsidR="00CD292D" w:rsidRDefault="00CD292D" w:rsidP="00CD292D">
      <w:pPr>
        <w:pStyle w:val="Nagwek2"/>
      </w:pPr>
      <w:r>
        <w:t>3.1. Ogólne wymagania dotyczące sprzętu</w:t>
      </w:r>
    </w:p>
    <w:p w:rsidR="00CD292D" w:rsidRDefault="00CD292D" w:rsidP="00CD292D">
      <w:r>
        <w:tab/>
        <w:t>Ogólne wymagania dotyczące sprzętu podano w OST D-M-00.00.00 „Wymagania ogólne” pkt 3.</w:t>
      </w:r>
    </w:p>
    <w:p w:rsidR="00CD292D" w:rsidRDefault="00CD292D" w:rsidP="00CD292D">
      <w:pPr>
        <w:pStyle w:val="Nagwek2"/>
      </w:pPr>
      <w:r>
        <w:t>3.2. Sprzęt do wykonywania robót remontowych i utrzymaniowych</w:t>
      </w:r>
    </w:p>
    <w:p w:rsidR="00CD292D" w:rsidRDefault="00CD292D" w:rsidP="00CD292D">
      <w:r>
        <w:tab/>
        <w:t>Wykonawca przystępujący do wykonania robót powinien wykazać się możliwością korzystania z następującego sprzętu:</w:t>
      </w:r>
    </w:p>
    <w:p w:rsidR="00CD292D" w:rsidRDefault="00CD292D" w:rsidP="00CD292D">
      <w:pPr>
        <w:numPr>
          <w:ilvl w:val="0"/>
          <w:numId w:val="5"/>
        </w:numPr>
        <w:overflowPunct w:val="0"/>
        <w:autoSpaceDE w:val="0"/>
        <w:autoSpaceDN w:val="0"/>
        <w:adjustRightInd w:val="0"/>
        <w:spacing w:after="0" w:line="240" w:lineRule="auto"/>
        <w:jc w:val="both"/>
      </w:pPr>
      <w:r>
        <w:t>koparek podsiębiernych,</w:t>
      </w:r>
    </w:p>
    <w:p w:rsidR="00CD292D" w:rsidRDefault="00CD292D" w:rsidP="00CD292D">
      <w:pPr>
        <w:numPr>
          <w:ilvl w:val="0"/>
          <w:numId w:val="5"/>
        </w:numPr>
        <w:overflowPunct w:val="0"/>
        <w:autoSpaceDE w:val="0"/>
        <w:autoSpaceDN w:val="0"/>
        <w:adjustRightInd w:val="0"/>
        <w:spacing w:after="0" w:line="240" w:lineRule="auto"/>
        <w:jc w:val="both"/>
      </w:pPr>
      <w:r>
        <w:t>spycharek lemieszowych,</w:t>
      </w:r>
    </w:p>
    <w:p w:rsidR="00CD292D" w:rsidRDefault="00CD292D" w:rsidP="00CD292D">
      <w:pPr>
        <w:numPr>
          <w:ilvl w:val="0"/>
          <w:numId w:val="5"/>
        </w:numPr>
        <w:overflowPunct w:val="0"/>
        <w:autoSpaceDE w:val="0"/>
        <w:autoSpaceDN w:val="0"/>
        <w:adjustRightInd w:val="0"/>
        <w:spacing w:after="0" w:line="240" w:lineRule="auto"/>
        <w:jc w:val="both"/>
      </w:pPr>
      <w:r>
        <w:t>równiarek samojezdnych lub przyczepnych,</w:t>
      </w:r>
    </w:p>
    <w:p w:rsidR="00CD292D" w:rsidRDefault="00CD292D" w:rsidP="00CD292D">
      <w:pPr>
        <w:numPr>
          <w:ilvl w:val="0"/>
          <w:numId w:val="5"/>
        </w:numPr>
        <w:overflowPunct w:val="0"/>
        <w:autoSpaceDE w:val="0"/>
        <w:autoSpaceDN w:val="0"/>
        <w:adjustRightInd w:val="0"/>
        <w:spacing w:after="0" w:line="240" w:lineRule="auto"/>
        <w:jc w:val="both"/>
      </w:pPr>
      <w:r>
        <w:t>urządzeń kontrolno-pomiarowych,</w:t>
      </w:r>
    </w:p>
    <w:p w:rsidR="00CD292D" w:rsidRDefault="00CD292D" w:rsidP="00CD292D">
      <w:pPr>
        <w:numPr>
          <w:ilvl w:val="0"/>
          <w:numId w:val="5"/>
        </w:numPr>
        <w:overflowPunct w:val="0"/>
        <w:autoSpaceDE w:val="0"/>
        <w:autoSpaceDN w:val="0"/>
        <w:adjustRightInd w:val="0"/>
        <w:spacing w:after="0" w:line="240" w:lineRule="auto"/>
        <w:jc w:val="both"/>
      </w:pPr>
      <w:r>
        <w:t>zagęszczarek płytowych wibracyjnych.</w:t>
      </w:r>
    </w:p>
    <w:p w:rsidR="00CD292D" w:rsidRDefault="00CD292D" w:rsidP="00CD292D">
      <w:pPr>
        <w:pStyle w:val="Nagwek1"/>
      </w:pPr>
      <w:bookmarkStart w:id="541" w:name="_Toc428169260"/>
      <w:bookmarkStart w:id="542" w:name="_Toc500913943"/>
      <w:r>
        <w:t>4. TRANSPORT</w:t>
      </w:r>
      <w:bookmarkEnd w:id="541"/>
      <w:bookmarkEnd w:id="542"/>
    </w:p>
    <w:p w:rsidR="00CD292D" w:rsidRDefault="00CD292D" w:rsidP="00CD292D">
      <w:pPr>
        <w:pStyle w:val="Nagwek2"/>
      </w:pPr>
      <w:r>
        <w:t>4.1. Ogólne wymagania dotyczące transportu</w:t>
      </w:r>
    </w:p>
    <w:p w:rsidR="00CD292D" w:rsidRDefault="00CD292D" w:rsidP="00CD292D">
      <w:r>
        <w:tab/>
        <w:t>Ogólne wymagania dotyczące transportu podano w OST D-M-00.00.00 „Wymagania ogólne” pkt 4.</w:t>
      </w:r>
    </w:p>
    <w:p w:rsidR="00CD292D" w:rsidRDefault="00CD292D" w:rsidP="00CD292D">
      <w:pPr>
        <w:pStyle w:val="Nagwek2"/>
      </w:pPr>
      <w:r>
        <w:t>4.2. Transport materiałów</w:t>
      </w:r>
    </w:p>
    <w:p w:rsidR="00CD292D" w:rsidRDefault="00CD292D" w:rsidP="00CD292D">
      <w:r>
        <w:tab/>
        <w:t>Przy wykonywaniu robót określonych w niniejszej OST, można korzystać z dowolnych środków transportowych.</w:t>
      </w:r>
    </w:p>
    <w:p w:rsidR="00CD292D" w:rsidRDefault="00CD292D" w:rsidP="00CD292D">
      <w:pPr>
        <w:pStyle w:val="Nagwek1"/>
      </w:pPr>
      <w:bookmarkStart w:id="543" w:name="_Toc428169261"/>
      <w:bookmarkStart w:id="544" w:name="_Toc500913944"/>
      <w:r>
        <w:t>5. WYKONANIE ROBÓT</w:t>
      </w:r>
      <w:bookmarkEnd w:id="543"/>
      <w:bookmarkEnd w:id="544"/>
    </w:p>
    <w:p w:rsidR="00CD292D" w:rsidRDefault="00CD292D" w:rsidP="00CD292D">
      <w:pPr>
        <w:pStyle w:val="Nagwek2"/>
      </w:pPr>
      <w:r>
        <w:t>5.1. Ogólne zasady wykonania robót</w:t>
      </w:r>
    </w:p>
    <w:p w:rsidR="00CD292D" w:rsidRDefault="00CD292D" w:rsidP="00CD292D">
      <w:r>
        <w:tab/>
        <w:t>Ogólne zasady wykonania robót podano w OST D-M-00.00.00 „Wymagania ogólne” pkt 5.</w:t>
      </w:r>
    </w:p>
    <w:p w:rsidR="00CD292D" w:rsidRDefault="00CD292D" w:rsidP="00CD292D">
      <w:pPr>
        <w:pStyle w:val="Nagwek2"/>
      </w:pPr>
      <w:r>
        <w:t>5.2. Oczyszczenie rowu</w:t>
      </w:r>
    </w:p>
    <w:p w:rsidR="00CD292D" w:rsidRDefault="00CD292D" w:rsidP="00CD292D">
      <w:r>
        <w:tab/>
        <w:t>Oczyszczenie rowu polega na wybraniu namułu naniesionego przez wodę, ścięciu trawy i krzaków w obrębie rowu.</w:t>
      </w:r>
    </w:p>
    <w:p w:rsidR="00CD292D" w:rsidRDefault="00CD292D" w:rsidP="00CD292D">
      <w:pPr>
        <w:pStyle w:val="Nagwek2"/>
      </w:pPr>
      <w:r>
        <w:t>5.3. Pogłębianie i wyprofilowanie dna i skarp rowu</w:t>
      </w:r>
    </w:p>
    <w:p w:rsidR="00CD292D" w:rsidRDefault="00CD292D" w:rsidP="00CD292D">
      <w:r>
        <w:rPr>
          <w:b/>
        </w:rPr>
        <w:tab/>
      </w:r>
      <w:r>
        <w:t>W wyniku prac remontowych należy uzyskać podane poniżej wymiary geometryczne rowu i skarp, zgodne z PN-S-02204 [1]:</w:t>
      </w:r>
    </w:p>
    <w:p w:rsidR="00CD292D" w:rsidRDefault="00CD292D" w:rsidP="00B4292E">
      <w:pPr>
        <w:numPr>
          <w:ilvl w:val="0"/>
          <w:numId w:val="20"/>
        </w:numPr>
        <w:overflowPunct w:val="0"/>
        <w:autoSpaceDE w:val="0"/>
        <w:autoSpaceDN w:val="0"/>
        <w:adjustRightInd w:val="0"/>
        <w:spacing w:after="0" w:line="240" w:lineRule="auto"/>
        <w:jc w:val="both"/>
      </w:pPr>
      <w:r>
        <w:t>dla rowu przydrożnego w kształcie:</w:t>
      </w:r>
    </w:p>
    <w:p w:rsidR="00CD292D" w:rsidRDefault="00CD292D" w:rsidP="00B4292E">
      <w:pPr>
        <w:numPr>
          <w:ilvl w:val="0"/>
          <w:numId w:val="21"/>
        </w:numPr>
        <w:overflowPunct w:val="0"/>
        <w:autoSpaceDE w:val="0"/>
        <w:autoSpaceDN w:val="0"/>
        <w:adjustRightInd w:val="0"/>
        <w:spacing w:after="0" w:line="240" w:lineRule="auto"/>
        <w:jc w:val="both"/>
      </w:pPr>
      <w:r>
        <w:t>trapezowym - szerokość dna co najmniej 0,40 m, nachylenie skarp od 1:1,5 do 1:1,3, głębokość od 0,30 m do 1,20 m liczona jako różnica poziomów dna i niższej krawędzi górnej rowu;</w:t>
      </w:r>
    </w:p>
    <w:p w:rsidR="00CD292D" w:rsidRDefault="00CD292D" w:rsidP="00B4292E">
      <w:pPr>
        <w:numPr>
          <w:ilvl w:val="0"/>
          <w:numId w:val="21"/>
        </w:numPr>
        <w:overflowPunct w:val="0"/>
        <w:autoSpaceDE w:val="0"/>
        <w:autoSpaceDN w:val="0"/>
        <w:adjustRightInd w:val="0"/>
        <w:spacing w:after="0" w:line="240" w:lineRule="auto"/>
        <w:jc w:val="both"/>
      </w:pPr>
      <w:r>
        <w:t>trójkątnym - dno wyokrąglone łukiem kołowym o promieniu 0,50 m, nachylenie skarpy wewnętrznej 1:3, nachylenie skarpy zewnętrznej od 1:3 do 1:10, głębokość od 0,30 m do 1,50 m liczona jako różnica poziomów dna i niższej krawędzi górnej rowu;</w:t>
      </w:r>
    </w:p>
    <w:p w:rsidR="00CD292D" w:rsidRDefault="00CD292D" w:rsidP="00B4292E">
      <w:pPr>
        <w:numPr>
          <w:ilvl w:val="0"/>
          <w:numId w:val="21"/>
        </w:numPr>
        <w:overflowPunct w:val="0"/>
        <w:autoSpaceDE w:val="0"/>
        <w:autoSpaceDN w:val="0"/>
        <w:adjustRightInd w:val="0"/>
        <w:spacing w:after="0" w:line="240" w:lineRule="auto"/>
        <w:jc w:val="both"/>
      </w:pPr>
      <w:r>
        <w:t>opływowym - dno wyokrąglone łukiem kołowym o promieniu 2,0 m, krawędzie górne wyokrąglone łukami kołowymi o promieniu 1,0 m do 2,0 m, nachylenie skarpy wewnętrznej 1:3, a skarpy zewnętrznej od 1:3 do 1:10, głębokość od 0,30 m do 0,50 m liczona jako różnica poziomów dna i niższej krawędzi górnej rowu;</w:t>
      </w:r>
    </w:p>
    <w:p w:rsidR="00CD292D" w:rsidRDefault="00CD292D" w:rsidP="00B4292E">
      <w:pPr>
        <w:numPr>
          <w:ilvl w:val="0"/>
          <w:numId w:val="22"/>
        </w:numPr>
        <w:overflowPunct w:val="0"/>
        <w:autoSpaceDE w:val="0"/>
        <w:autoSpaceDN w:val="0"/>
        <w:adjustRightInd w:val="0"/>
        <w:spacing w:after="0" w:line="240" w:lineRule="auto"/>
        <w:jc w:val="both"/>
      </w:pPr>
      <w: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rsidR="00CD292D" w:rsidRDefault="00CD292D" w:rsidP="00CD292D">
      <w:pPr>
        <w:numPr>
          <w:ilvl w:val="0"/>
          <w:numId w:val="5"/>
        </w:numPr>
        <w:overflowPunct w:val="0"/>
        <w:autoSpaceDE w:val="0"/>
        <w:autoSpaceDN w:val="0"/>
        <w:adjustRightInd w:val="0"/>
        <w:spacing w:after="0" w:line="240" w:lineRule="auto"/>
        <w:jc w:val="both"/>
      </w:pPr>
      <w:r>
        <w:lastRenderedPageBreak/>
        <w:t>dla rowu odpływowego - kształt trapezowy, szerokość dna co najmniej  0,40 m, głębokość minimum 0,50 m, przebieg prostoliniowy, na załamaniach trasy łuki kołowe o promieniu co najmniej 10,0 m.</w:t>
      </w:r>
    </w:p>
    <w:p w:rsidR="00CD292D" w:rsidRDefault="00CD292D" w:rsidP="00CD292D">
      <w:r>
        <w:tab/>
        <w:t>Najmniejszy dopuszczalny spadek podłużny rowu powinien wynosić 0,2%; w wyjątkowych sytuacjach na odcinkach nie przekraczających 200 m - 0,1%.</w:t>
      </w:r>
    </w:p>
    <w:p w:rsidR="00CD292D" w:rsidRDefault="00CD292D" w:rsidP="00CD292D">
      <w:r>
        <w:tab/>
        <w:t>Największy spadek podłużny rowu nie powinien przekraczać:</w:t>
      </w:r>
    </w:p>
    <w:p w:rsidR="00CD292D" w:rsidRDefault="00CD292D" w:rsidP="00B4292E">
      <w:pPr>
        <w:numPr>
          <w:ilvl w:val="0"/>
          <w:numId w:val="23"/>
        </w:numPr>
        <w:overflowPunct w:val="0"/>
        <w:autoSpaceDE w:val="0"/>
        <w:autoSpaceDN w:val="0"/>
        <w:adjustRightInd w:val="0"/>
        <w:spacing w:after="0" w:line="240" w:lineRule="auto"/>
        <w:jc w:val="both"/>
      </w:pPr>
      <w:r>
        <w:t>przy nieumocnionych skarpach i dnie</w:t>
      </w:r>
    </w:p>
    <w:p w:rsidR="00CD292D" w:rsidRDefault="00CD292D" w:rsidP="00CD292D">
      <w:r>
        <w:tab/>
        <w:t>- w gruntach piaszczystych - 1,5%,</w:t>
      </w:r>
    </w:p>
    <w:p w:rsidR="00CD292D" w:rsidRDefault="00CD292D" w:rsidP="00CD292D">
      <w:r>
        <w:tab/>
        <w:t>- w gruntach piaszczysto-gliniastych, pylastych - 2,0%,</w:t>
      </w:r>
    </w:p>
    <w:p w:rsidR="00CD292D" w:rsidRDefault="00CD292D" w:rsidP="00CD292D">
      <w:r>
        <w:tab/>
        <w:t>- w gruntach gliniastych i ilastych - 3,0%,</w:t>
      </w:r>
    </w:p>
    <w:p w:rsidR="00CD292D" w:rsidRDefault="00CD292D" w:rsidP="00CD292D">
      <w:r>
        <w:tab/>
        <w:t>- w gruntach skalistych - 10,0%;</w:t>
      </w:r>
    </w:p>
    <w:p w:rsidR="00CD292D" w:rsidRDefault="00CD292D" w:rsidP="00B4292E">
      <w:pPr>
        <w:numPr>
          <w:ilvl w:val="0"/>
          <w:numId w:val="24"/>
        </w:numPr>
        <w:overflowPunct w:val="0"/>
        <w:autoSpaceDE w:val="0"/>
        <w:autoSpaceDN w:val="0"/>
        <w:adjustRightInd w:val="0"/>
        <w:spacing w:after="0" w:line="240" w:lineRule="auto"/>
        <w:jc w:val="both"/>
      </w:pPr>
      <w:r>
        <w:t>przy umocnionych skarpach i dnie</w:t>
      </w:r>
    </w:p>
    <w:p w:rsidR="00CD292D" w:rsidRDefault="00CD292D" w:rsidP="00CD292D">
      <w:r>
        <w:tab/>
        <w:t>- matą trawiastą - 2,0%,</w:t>
      </w:r>
    </w:p>
    <w:p w:rsidR="00CD292D" w:rsidRDefault="00CD292D" w:rsidP="00CD292D">
      <w:r>
        <w:tab/>
        <w:t>- darniną - 3,0%,</w:t>
      </w:r>
    </w:p>
    <w:p w:rsidR="00CD292D" w:rsidRDefault="00CD292D" w:rsidP="00CD292D">
      <w:r>
        <w:tab/>
        <w:t>- faszyną - 4,0%,</w:t>
      </w:r>
    </w:p>
    <w:p w:rsidR="00CD292D" w:rsidRDefault="00CD292D" w:rsidP="00CD292D">
      <w:r>
        <w:tab/>
        <w:t>- brukiem na sucho - 6,0%,</w:t>
      </w:r>
    </w:p>
    <w:p w:rsidR="00CD292D" w:rsidRDefault="00CD292D" w:rsidP="00CD292D">
      <w:r>
        <w:tab/>
        <w:t>- elementami betonowymi - 10,0%,</w:t>
      </w:r>
    </w:p>
    <w:p w:rsidR="00CD292D" w:rsidRDefault="00CD292D" w:rsidP="00CD292D">
      <w:r>
        <w:tab/>
        <w:t>- brukiem na podsypce cementowo-piaskowej - 15,0%.</w:t>
      </w:r>
    </w:p>
    <w:p w:rsidR="00CD292D" w:rsidRDefault="00CD292D" w:rsidP="00CD292D">
      <w:pPr>
        <w:pStyle w:val="Nagwek2"/>
      </w:pPr>
      <w:r>
        <w:t>5.4. Roboty wykończeniowe</w:t>
      </w:r>
    </w:p>
    <w:p w:rsidR="00CD292D" w:rsidRDefault="00CD292D" w:rsidP="00CD292D">
      <w:r>
        <w:tab/>
        <w:t>Namuł i nadmiar gruntu pochodzącego z remontowanych rowów i skarp należy wywieźć poza obręb pasa drogowego i rozplantować w miejscu zaakceptowanym przez Inżyniera.</w:t>
      </w:r>
    </w:p>
    <w:p w:rsidR="00CD292D" w:rsidRDefault="00CD292D" w:rsidP="00CD292D">
      <w:r>
        <w:tab/>
        <w:t>Sposób zniszczenia pozostałości po usuniętej roślinności powinien być zgodny z ustaleniami SST lub wskazaniami Inżyniera.</w:t>
      </w:r>
    </w:p>
    <w:p w:rsidR="00CD292D" w:rsidRDefault="00CD292D" w:rsidP="00CD292D">
      <w:pPr>
        <w:pStyle w:val="Nagwek1"/>
      </w:pPr>
      <w:bookmarkStart w:id="545" w:name="_Toc428169262"/>
      <w:bookmarkStart w:id="546" w:name="_Toc500913945"/>
      <w:r>
        <w:t>6. KONTROLA JAKOŚCI ROBÓT</w:t>
      </w:r>
      <w:bookmarkEnd w:id="545"/>
      <w:bookmarkEnd w:id="546"/>
    </w:p>
    <w:p w:rsidR="00CD292D" w:rsidRDefault="00CD292D" w:rsidP="00CD292D">
      <w:pPr>
        <w:pStyle w:val="Nagwek2"/>
      </w:pPr>
      <w:r>
        <w:t>6.1. Ogólne zasady kontroli jakości robót</w:t>
      </w:r>
    </w:p>
    <w:p w:rsidR="00CD292D" w:rsidRDefault="00CD292D" w:rsidP="00CD292D">
      <w:r>
        <w:tab/>
        <w:t>Ogólne zasady kontroli jakości robót podano w OST D-M-00.00.00 „Wymagania ogólne” pkt 6.</w:t>
      </w:r>
    </w:p>
    <w:p w:rsidR="00CD292D" w:rsidRDefault="00CD292D" w:rsidP="00CD292D">
      <w:pPr>
        <w:pStyle w:val="Nagwek2"/>
      </w:pPr>
      <w:r>
        <w:t>6.2. Pomiary cech geometrycznych remontowanego rowu i skarp</w:t>
      </w:r>
    </w:p>
    <w:p w:rsidR="00CD292D" w:rsidRDefault="00CD292D" w:rsidP="00CD292D">
      <w:r>
        <w:tab/>
        <w:t>Częstotliwość oraz zakres pomiarów podaje tablica 1.</w:t>
      </w:r>
    </w:p>
    <w:p w:rsidR="00CD292D" w:rsidRDefault="00CD292D" w:rsidP="00CD292D"/>
    <w:p w:rsidR="00CD292D" w:rsidRDefault="00CD292D" w:rsidP="00CD292D">
      <w:pPr>
        <w:spacing w:after="120"/>
      </w:pPr>
      <w:r>
        <w:t>Tablica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260"/>
        <w:gridCol w:w="3685"/>
      </w:tblGrid>
      <w:tr w:rsidR="00CD292D" w:rsidTr="00CD292D">
        <w:tc>
          <w:tcPr>
            <w:tcW w:w="496"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pPr>
            <w:r>
              <w:t>Lp.</w:t>
            </w:r>
          </w:p>
        </w:tc>
        <w:tc>
          <w:tcPr>
            <w:tcW w:w="3260"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pPr>
            <w:r>
              <w:t>Wyszczególnienie</w:t>
            </w:r>
          </w:p>
        </w:tc>
        <w:tc>
          <w:tcPr>
            <w:tcW w:w="3685" w:type="dxa"/>
            <w:tcBorders>
              <w:top w:val="single" w:sz="6" w:space="0" w:color="auto"/>
              <w:left w:val="single" w:sz="6" w:space="0" w:color="auto"/>
              <w:bottom w:val="double" w:sz="6" w:space="0" w:color="auto"/>
              <w:right w:val="single" w:sz="6" w:space="0" w:color="auto"/>
            </w:tcBorders>
            <w:noWrap/>
            <w:hideMark/>
          </w:tcPr>
          <w:p w:rsidR="00CD292D" w:rsidRDefault="00CD292D">
            <w:pPr>
              <w:spacing w:before="60" w:after="60"/>
              <w:jc w:val="center"/>
            </w:pPr>
            <w:r>
              <w:t>Minimalna częstotliwość pomiarów</w:t>
            </w:r>
          </w:p>
        </w:tc>
      </w:tr>
      <w:tr w:rsidR="00CD292D" w:rsidTr="00CD292D">
        <w:tc>
          <w:tcPr>
            <w:tcW w:w="496" w:type="dxa"/>
            <w:tcBorders>
              <w:top w:val="nil"/>
              <w:left w:val="single" w:sz="6" w:space="0" w:color="auto"/>
              <w:bottom w:val="single" w:sz="6" w:space="0" w:color="auto"/>
              <w:right w:val="single" w:sz="6" w:space="0" w:color="auto"/>
            </w:tcBorders>
            <w:noWrap/>
            <w:hideMark/>
          </w:tcPr>
          <w:p w:rsidR="00CD292D" w:rsidRDefault="00CD292D">
            <w:pPr>
              <w:spacing w:before="60" w:after="60"/>
              <w:jc w:val="center"/>
              <w:rPr>
                <w:b/>
              </w:rPr>
            </w:pPr>
            <w:r>
              <w:t>1</w:t>
            </w:r>
          </w:p>
        </w:tc>
        <w:tc>
          <w:tcPr>
            <w:tcW w:w="3260" w:type="dxa"/>
            <w:tcBorders>
              <w:top w:val="nil"/>
              <w:left w:val="single" w:sz="6" w:space="0" w:color="auto"/>
              <w:bottom w:val="single" w:sz="6" w:space="0" w:color="auto"/>
              <w:right w:val="single" w:sz="6" w:space="0" w:color="auto"/>
            </w:tcBorders>
            <w:noWrap/>
            <w:hideMark/>
          </w:tcPr>
          <w:p w:rsidR="00CD292D" w:rsidRDefault="00CD292D">
            <w:pPr>
              <w:spacing w:before="60" w:after="60"/>
              <w:rPr>
                <w:b/>
              </w:rPr>
            </w:pPr>
            <w:r>
              <w:t>Spadek podłużny rowu</w:t>
            </w:r>
          </w:p>
        </w:tc>
        <w:tc>
          <w:tcPr>
            <w:tcW w:w="3685" w:type="dxa"/>
            <w:tcBorders>
              <w:top w:val="nil"/>
              <w:left w:val="single" w:sz="6" w:space="0" w:color="auto"/>
              <w:bottom w:val="single" w:sz="6" w:space="0" w:color="auto"/>
              <w:right w:val="single" w:sz="6" w:space="0" w:color="auto"/>
            </w:tcBorders>
            <w:noWrap/>
            <w:hideMark/>
          </w:tcPr>
          <w:p w:rsidR="00CD292D" w:rsidRDefault="00CD292D">
            <w:pPr>
              <w:spacing w:before="60" w:after="60"/>
              <w:jc w:val="center"/>
            </w:pPr>
            <w:r>
              <w:t>1 km na każde 5 km drogi</w:t>
            </w:r>
          </w:p>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spacing w:before="60" w:after="60"/>
              <w:jc w:val="center"/>
              <w:rPr>
                <w:b/>
              </w:rPr>
            </w:pPr>
            <w:r>
              <w:t>2</w:t>
            </w:r>
          </w:p>
        </w:tc>
        <w:tc>
          <w:tcPr>
            <w:tcW w:w="3260" w:type="dxa"/>
            <w:tcBorders>
              <w:top w:val="single" w:sz="6" w:space="0" w:color="auto"/>
              <w:left w:val="single" w:sz="6" w:space="0" w:color="auto"/>
              <w:bottom w:val="single" w:sz="6" w:space="0" w:color="auto"/>
              <w:right w:val="single" w:sz="6" w:space="0" w:color="auto"/>
            </w:tcBorders>
            <w:noWrap/>
            <w:hideMark/>
          </w:tcPr>
          <w:p w:rsidR="00CD292D" w:rsidRDefault="00CD292D">
            <w:pPr>
              <w:spacing w:before="60" w:after="60"/>
              <w:rPr>
                <w:b/>
              </w:rPr>
            </w:pPr>
            <w:r>
              <w:t>Szerokość i głębokość rowu</w:t>
            </w:r>
          </w:p>
        </w:tc>
        <w:tc>
          <w:tcPr>
            <w:tcW w:w="3685" w:type="dxa"/>
            <w:tcBorders>
              <w:top w:val="single" w:sz="6" w:space="0" w:color="auto"/>
              <w:left w:val="single" w:sz="6" w:space="0" w:color="auto"/>
              <w:bottom w:val="single" w:sz="6" w:space="0" w:color="auto"/>
              <w:right w:val="single" w:sz="6" w:space="0" w:color="auto"/>
            </w:tcBorders>
            <w:noWrap/>
            <w:hideMark/>
          </w:tcPr>
          <w:p w:rsidR="00CD292D" w:rsidRDefault="00CD292D">
            <w:pPr>
              <w:spacing w:before="60" w:after="60"/>
              <w:jc w:val="center"/>
            </w:pPr>
            <w:r>
              <w:t>1 raz na 100 m</w:t>
            </w:r>
          </w:p>
        </w:tc>
      </w:tr>
      <w:tr w:rsidR="00CD292D" w:rsidTr="00CD292D">
        <w:tc>
          <w:tcPr>
            <w:tcW w:w="496" w:type="dxa"/>
            <w:tcBorders>
              <w:top w:val="single" w:sz="6" w:space="0" w:color="auto"/>
              <w:left w:val="single" w:sz="6" w:space="0" w:color="auto"/>
              <w:bottom w:val="single" w:sz="6" w:space="0" w:color="auto"/>
              <w:right w:val="single" w:sz="6" w:space="0" w:color="auto"/>
            </w:tcBorders>
            <w:noWrap/>
            <w:hideMark/>
          </w:tcPr>
          <w:p w:rsidR="00CD292D" w:rsidRDefault="00CD292D">
            <w:pPr>
              <w:spacing w:before="60" w:after="60"/>
              <w:jc w:val="center"/>
              <w:rPr>
                <w:b/>
              </w:rPr>
            </w:pPr>
            <w:r>
              <w:t>3</w:t>
            </w:r>
          </w:p>
        </w:tc>
        <w:tc>
          <w:tcPr>
            <w:tcW w:w="3260" w:type="dxa"/>
            <w:tcBorders>
              <w:top w:val="single" w:sz="6" w:space="0" w:color="auto"/>
              <w:left w:val="single" w:sz="6" w:space="0" w:color="auto"/>
              <w:bottom w:val="single" w:sz="6" w:space="0" w:color="auto"/>
              <w:right w:val="single" w:sz="6" w:space="0" w:color="auto"/>
            </w:tcBorders>
            <w:noWrap/>
            <w:hideMark/>
          </w:tcPr>
          <w:p w:rsidR="00CD292D" w:rsidRDefault="00CD292D">
            <w:pPr>
              <w:spacing w:before="60" w:after="60"/>
              <w:rPr>
                <w:b/>
              </w:rPr>
            </w:pPr>
            <w:r>
              <w:t>Powierzchnia skarp</w:t>
            </w:r>
          </w:p>
        </w:tc>
        <w:tc>
          <w:tcPr>
            <w:tcW w:w="3685" w:type="dxa"/>
            <w:tcBorders>
              <w:top w:val="single" w:sz="6" w:space="0" w:color="auto"/>
              <w:left w:val="single" w:sz="6" w:space="0" w:color="auto"/>
              <w:bottom w:val="single" w:sz="6" w:space="0" w:color="auto"/>
              <w:right w:val="single" w:sz="6" w:space="0" w:color="auto"/>
            </w:tcBorders>
            <w:noWrap/>
            <w:hideMark/>
          </w:tcPr>
          <w:p w:rsidR="00CD292D" w:rsidRDefault="00CD292D">
            <w:pPr>
              <w:spacing w:before="60" w:after="60"/>
              <w:jc w:val="center"/>
            </w:pPr>
            <w:r>
              <w:t>1 raz na 100 m</w:t>
            </w:r>
          </w:p>
        </w:tc>
      </w:tr>
    </w:tbl>
    <w:p w:rsidR="00CD292D" w:rsidRDefault="00CD292D" w:rsidP="00CD292D">
      <w:pPr>
        <w:rPr>
          <w:b/>
          <w:sz w:val="20"/>
          <w:szCs w:val="20"/>
        </w:rPr>
      </w:pPr>
    </w:p>
    <w:p w:rsidR="00CD292D" w:rsidRDefault="00CD292D" w:rsidP="00CD292D">
      <w:pPr>
        <w:spacing w:before="120" w:after="120"/>
      </w:pPr>
      <w:r>
        <w:rPr>
          <w:b/>
        </w:rPr>
        <w:lastRenderedPageBreak/>
        <w:t xml:space="preserve">6.2.1. </w:t>
      </w:r>
      <w:r>
        <w:t>Spadki podłużne rowu</w:t>
      </w:r>
    </w:p>
    <w:p w:rsidR="00CD292D" w:rsidRDefault="00CD292D" w:rsidP="00CD292D">
      <w:r>
        <w:tab/>
        <w:t xml:space="preserve">Spadki podłużne rowu powinny być zgodne z dokumentacją projektową, z tolerancją </w:t>
      </w:r>
      <w:r>
        <w:sym w:font="Symbol" w:char="F0B1"/>
      </w:r>
      <w:r>
        <w:t xml:space="preserve"> 0,5% spadku.</w:t>
      </w:r>
    </w:p>
    <w:p w:rsidR="00CD292D" w:rsidRDefault="00CD292D" w:rsidP="00CD292D">
      <w:pPr>
        <w:spacing w:before="120" w:after="120"/>
      </w:pPr>
      <w:r>
        <w:rPr>
          <w:b/>
        </w:rPr>
        <w:t xml:space="preserve">6.2.2. </w:t>
      </w:r>
      <w:r>
        <w:t>Szerokość i głębokość rowu</w:t>
      </w:r>
    </w:p>
    <w:p w:rsidR="00CD292D" w:rsidRDefault="00CD292D" w:rsidP="00CD292D">
      <w:r>
        <w:tab/>
        <w:t xml:space="preserve">Szerokość i głębokość rowu powinna być zgodna z dokumentacją projektową z tolerancją </w:t>
      </w:r>
      <w:r>
        <w:sym w:font="Symbol" w:char="F0B1"/>
      </w:r>
      <w:r>
        <w:t xml:space="preserve"> 5 cm.</w:t>
      </w:r>
    </w:p>
    <w:p w:rsidR="00CD292D" w:rsidRDefault="00CD292D" w:rsidP="00CD292D">
      <w:pPr>
        <w:spacing w:before="120" w:after="120"/>
      </w:pPr>
      <w:r>
        <w:rPr>
          <w:b/>
        </w:rPr>
        <w:t xml:space="preserve">6.2.3. </w:t>
      </w:r>
      <w:r>
        <w:t>Powierzchnia skarp</w:t>
      </w:r>
    </w:p>
    <w:p w:rsidR="00CD292D" w:rsidRDefault="00CD292D" w:rsidP="00CD292D">
      <w:r>
        <w:tab/>
        <w:t>Powierzchnię skarp należy sprawdzać szablonem. Prześwit między skarpą a szablonem nie powinien przekraczać 3cm.</w:t>
      </w:r>
    </w:p>
    <w:p w:rsidR="00CD292D" w:rsidRDefault="00CD292D" w:rsidP="00CD292D">
      <w:pPr>
        <w:pStyle w:val="Nagwek1"/>
      </w:pPr>
      <w:bookmarkStart w:id="547" w:name="_Toc428169263"/>
      <w:bookmarkStart w:id="548" w:name="_Toc500913946"/>
      <w:r>
        <w:t>7. OBMIAR ROBÓT</w:t>
      </w:r>
      <w:bookmarkEnd w:id="547"/>
      <w:bookmarkEnd w:id="548"/>
    </w:p>
    <w:p w:rsidR="00CD292D" w:rsidRDefault="00CD292D" w:rsidP="00CD292D">
      <w:pPr>
        <w:pStyle w:val="Nagwek2"/>
      </w:pPr>
      <w:r>
        <w:t>7.1. Ogólne zasady obmiaru robót</w:t>
      </w:r>
    </w:p>
    <w:p w:rsidR="00CD292D" w:rsidRDefault="00CD292D" w:rsidP="00CD292D">
      <w:r>
        <w:tab/>
        <w:t>Ogólne zasady obmiaru robót podano w OST D-M-00.00.00 „Wymagania ogólne” pkt 7.</w:t>
      </w:r>
    </w:p>
    <w:p w:rsidR="00CD292D" w:rsidRDefault="00CD292D" w:rsidP="00CD292D">
      <w:pPr>
        <w:pStyle w:val="Nagwek2"/>
      </w:pPr>
      <w:r>
        <w:t>7.2. Jednostka obmiarowa</w:t>
      </w:r>
    </w:p>
    <w:p w:rsidR="00CD292D" w:rsidRDefault="00CD292D" w:rsidP="00CD292D">
      <w:r>
        <w:tab/>
        <w:t>Jednostką obmiarową jest m (metr) remontowanego rowu.</w:t>
      </w:r>
    </w:p>
    <w:p w:rsidR="00CD292D" w:rsidRDefault="00CD292D" w:rsidP="00CD292D">
      <w:pPr>
        <w:pStyle w:val="Nagwek1"/>
      </w:pPr>
      <w:bookmarkStart w:id="549" w:name="_Toc428169264"/>
      <w:bookmarkStart w:id="550" w:name="_Toc500913947"/>
      <w:r>
        <w:t>8. ODBIÓR ROBÓT</w:t>
      </w:r>
      <w:bookmarkEnd w:id="549"/>
      <w:bookmarkEnd w:id="550"/>
    </w:p>
    <w:p w:rsidR="00CD292D" w:rsidRDefault="00CD292D" w:rsidP="00CD292D">
      <w:r>
        <w:tab/>
        <w:t>Ogólne zasady odbioru robót podano w OST D-M-00.00.00 „Wymagania ogólne” pkt 8.</w:t>
      </w:r>
    </w:p>
    <w:p w:rsidR="00CD292D" w:rsidRDefault="00CD292D" w:rsidP="00CD292D">
      <w:r>
        <w:tab/>
        <w:t>Roboty uznaje się za wykonane zgodnie z dokumentacją projektową, SST i wymaganiami Inżyniera, jeżeli wszystkie pomiary i badania z zachowaniem tolerancji wg pkt 6 dały wyniki pozytywne.</w:t>
      </w:r>
    </w:p>
    <w:p w:rsidR="00CD292D" w:rsidRDefault="00CD292D" w:rsidP="00CD292D">
      <w:pPr>
        <w:pStyle w:val="Nagwek1"/>
      </w:pPr>
      <w:bookmarkStart w:id="551" w:name="_Toc428169265"/>
      <w:bookmarkStart w:id="552" w:name="_Toc500913948"/>
      <w:r>
        <w:t>9. PODSTAWA PŁATNOŚCI</w:t>
      </w:r>
      <w:bookmarkEnd w:id="551"/>
      <w:bookmarkEnd w:id="552"/>
    </w:p>
    <w:p w:rsidR="00CD292D" w:rsidRDefault="00CD292D" w:rsidP="00CD292D">
      <w:pPr>
        <w:pStyle w:val="Nagwek2"/>
      </w:pPr>
      <w:r>
        <w:t>9.1. Ogólne ustalenia dotyczące podstawy płatności</w:t>
      </w:r>
    </w:p>
    <w:p w:rsidR="00CD292D" w:rsidRDefault="00CD292D" w:rsidP="00CD292D">
      <w:r>
        <w:tab/>
        <w:t>Ogólne ustalenia dotyczące podstawy płatności podano w OST D-M-00.00.00 „Wymagania ogólne” pkt 9.</w:t>
      </w:r>
    </w:p>
    <w:p w:rsidR="00CD292D" w:rsidRDefault="00CD292D" w:rsidP="00CD292D">
      <w:pPr>
        <w:pStyle w:val="Nagwek2"/>
      </w:pPr>
      <w:r>
        <w:t>9.2. Cena jednostki obmiarowej</w:t>
      </w:r>
    </w:p>
    <w:p w:rsidR="00CD292D" w:rsidRDefault="00CD292D" w:rsidP="00CD292D">
      <w:r>
        <w:tab/>
        <w:t>Cena wykonania 1 m remontowanego rowu obejmuje:</w:t>
      </w:r>
    </w:p>
    <w:p w:rsidR="00CD292D" w:rsidRDefault="00CD292D" w:rsidP="00CD292D">
      <w:pPr>
        <w:numPr>
          <w:ilvl w:val="0"/>
          <w:numId w:val="5"/>
        </w:numPr>
        <w:overflowPunct w:val="0"/>
        <w:autoSpaceDE w:val="0"/>
        <w:autoSpaceDN w:val="0"/>
        <w:adjustRightInd w:val="0"/>
        <w:spacing w:after="0" w:line="240" w:lineRule="auto"/>
        <w:jc w:val="both"/>
        <w:rPr>
          <w:b/>
        </w:rPr>
      </w:pPr>
      <w:r>
        <w:t>roboty pomiarowe i przygotowawcze,</w:t>
      </w:r>
    </w:p>
    <w:p w:rsidR="00CD292D" w:rsidRDefault="00CD292D" w:rsidP="00CD292D">
      <w:pPr>
        <w:numPr>
          <w:ilvl w:val="0"/>
          <w:numId w:val="5"/>
        </w:numPr>
        <w:overflowPunct w:val="0"/>
        <w:autoSpaceDE w:val="0"/>
        <w:autoSpaceDN w:val="0"/>
        <w:adjustRightInd w:val="0"/>
        <w:spacing w:after="0" w:line="240" w:lineRule="auto"/>
        <w:jc w:val="both"/>
        <w:rPr>
          <w:b/>
        </w:rPr>
      </w:pPr>
      <w:r>
        <w:t>oznakowanie robót,</w:t>
      </w:r>
    </w:p>
    <w:p w:rsidR="00CD292D" w:rsidRDefault="00CD292D" w:rsidP="00CD292D">
      <w:pPr>
        <w:numPr>
          <w:ilvl w:val="0"/>
          <w:numId w:val="5"/>
        </w:numPr>
        <w:overflowPunct w:val="0"/>
        <w:autoSpaceDE w:val="0"/>
        <w:autoSpaceDN w:val="0"/>
        <w:adjustRightInd w:val="0"/>
        <w:spacing w:after="0" w:line="240" w:lineRule="auto"/>
        <w:jc w:val="both"/>
        <w:rPr>
          <w:b/>
        </w:rPr>
      </w:pPr>
      <w:r>
        <w:t>oczyszczenie rowu,</w:t>
      </w:r>
    </w:p>
    <w:p w:rsidR="00CD292D" w:rsidRDefault="00CD292D" w:rsidP="00CD292D">
      <w:pPr>
        <w:numPr>
          <w:ilvl w:val="0"/>
          <w:numId w:val="5"/>
        </w:numPr>
        <w:overflowPunct w:val="0"/>
        <w:autoSpaceDE w:val="0"/>
        <w:autoSpaceDN w:val="0"/>
        <w:adjustRightInd w:val="0"/>
        <w:spacing w:after="0" w:line="240" w:lineRule="auto"/>
        <w:jc w:val="both"/>
        <w:rPr>
          <w:b/>
        </w:rPr>
      </w:pPr>
      <w:r>
        <w:t>pogłębianie i profilowanie rowu,</w:t>
      </w:r>
    </w:p>
    <w:p w:rsidR="00CD292D" w:rsidRDefault="00CD292D" w:rsidP="00CD292D">
      <w:pPr>
        <w:numPr>
          <w:ilvl w:val="0"/>
          <w:numId w:val="5"/>
        </w:numPr>
        <w:overflowPunct w:val="0"/>
        <w:autoSpaceDE w:val="0"/>
        <w:autoSpaceDN w:val="0"/>
        <w:adjustRightInd w:val="0"/>
        <w:spacing w:after="0" w:line="240" w:lineRule="auto"/>
        <w:jc w:val="both"/>
        <w:rPr>
          <w:b/>
        </w:rPr>
      </w:pPr>
      <w:r>
        <w:t>ścięcie trawy i krzaków,</w:t>
      </w:r>
    </w:p>
    <w:p w:rsidR="00CD292D" w:rsidRDefault="00CD292D" w:rsidP="00CD292D">
      <w:pPr>
        <w:numPr>
          <w:ilvl w:val="0"/>
          <w:numId w:val="5"/>
        </w:numPr>
        <w:overflowPunct w:val="0"/>
        <w:autoSpaceDE w:val="0"/>
        <w:autoSpaceDN w:val="0"/>
        <w:adjustRightInd w:val="0"/>
        <w:spacing w:after="0" w:line="240" w:lineRule="auto"/>
        <w:jc w:val="both"/>
        <w:rPr>
          <w:b/>
        </w:rPr>
      </w:pPr>
      <w:r>
        <w:t>odwiezienie urobku,</w:t>
      </w:r>
    </w:p>
    <w:p w:rsidR="00CD292D" w:rsidRDefault="00CD292D" w:rsidP="00CD292D">
      <w:pPr>
        <w:numPr>
          <w:ilvl w:val="0"/>
          <w:numId w:val="5"/>
        </w:numPr>
        <w:overflowPunct w:val="0"/>
        <w:autoSpaceDE w:val="0"/>
        <w:autoSpaceDN w:val="0"/>
        <w:adjustRightInd w:val="0"/>
        <w:spacing w:after="0" w:line="240" w:lineRule="auto"/>
        <w:jc w:val="both"/>
        <w:rPr>
          <w:b/>
        </w:rPr>
      </w:pPr>
      <w:r>
        <w:t>roboty wykończeniowe,</w:t>
      </w:r>
    </w:p>
    <w:p w:rsidR="00CD292D" w:rsidRDefault="00CD292D" w:rsidP="00CD292D">
      <w:pPr>
        <w:numPr>
          <w:ilvl w:val="0"/>
          <w:numId w:val="5"/>
        </w:numPr>
        <w:overflowPunct w:val="0"/>
        <w:autoSpaceDE w:val="0"/>
        <w:autoSpaceDN w:val="0"/>
        <w:adjustRightInd w:val="0"/>
        <w:spacing w:after="0" w:line="240" w:lineRule="auto"/>
        <w:jc w:val="both"/>
        <w:rPr>
          <w:b/>
        </w:rPr>
      </w:pPr>
      <w:r>
        <w:t>przeprowadzenie pomiarów wymaganych w specyfikacji technicznej.</w:t>
      </w:r>
    </w:p>
    <w:p w:rsidR="00CD292D" w:rsidRDefault="00CD292D" w:rsidP="00CD292D">
      <w:pPr>
        <w:pStyle w:val="Nagwek1"/>
      </w:pPr>
      <w:bookmarkStart w:id="553" w:name="_Toc428169266"/>
      <w:bookmarkStart w:id="554" w:name="_Toc500913949"/>
      <w:r>
        <w:t>10. PRZEPISY ZWIĄZANE</w:t>
      </w:r>
      <w:bookmarkEnd w:id="553"/>
      <w:bookmarkEnd w:id="554"/>
    </w:p>
    <w:p w:rsidR="00CD292D" w:rsidRDefault="00CD292D" w:rsidP="00CD292D">
      <w:pPr>
        <w:pStyle w:val="Nagwek2"/>
      </w:pPr>
      <w:r>
        <w:t>10.1. Normy</w:t>
      </w:r>
    </w:p>
    <w:p w:rsidR="00CD292D" w:rsidRDefault="00CD292D" w:rsidP="00CD292D">
      <w:r>
        <w:t>1. PN-S-02204</w:t>
      </w:r>
      <w:r>
        <w:tab/>
        <w:t>Drogi samochodowe. Odwodnienie dróg</w:t>
      </w:r>
    </w:p>
    <w:p w:rsidR="00CD292D" w:rsidRDefault="00CD292D" w:rsidP="00CD292D">
      <w:pPr>
        <w:pStyle w:val="Nagwek2"/>
      </w:pPr>
      <w:r>
        <w:t>10.2. Inne materiały</w:t>
      </w:r>
    </w:p>
    <w:p w:rsidR="00CD292D" w:rsidRDefault="00CD292D" w:rsidP="00CD292D">
      <w:pPr>
        <w:rPr>
          <w:rFonts w:ascii="Bookman Old Style" w:hAnsi="Bookman Old Style"/>
          <w:b/>
        </w:rPr>
      </w:pPr>
      <w:r>
        <w:t>2. Stanisław Datka, Stanisław Lenczewski: Drogowe roboty ziemne</w:t>
      </w:r>
    </w:p>
    <w:p w:rsidR="00CD292D" w:rsidRDefault="00CD292D" w:rsidP="00CD292D">
      <w:pPr>
        <w:rPr>
          <w:rFonts w:ascii="Times New Roman" w:hAnsi="Times New Roman"/>
        </w:rPr>
      </w:pPr>
    </w:p>
    <w:p w:rsidR="00CD292D" w:rsidRDefault="00CD292D" w:rsidP="00CD292D"/>
    <w:p w:rsidR="00C96A5B" w:rsidRDefault="00C753C3" w:rsidP="00C96A5B">
      <w:pPr>
        <w:jc w:val="both"/>
        <w:rPr>
          <w:b/>
          <w:sz w:val="27"/>
        </w:rPr>
      </w:pPr>
      <w:r>
        <w:rPr>
          <w:b/>
          <w:sz w:val="28"/>
        </w:rPr>
        <w:t>VIII</w:t>
      </w:r>
      <w:r w:rsidR="00C96A5B">
        <w:rPr>
          <w:b/>
          <w:sz w:val="28"/>
        </w:rPr>
        <w:t xml:space="preserve">. D – 04.05.01a    </w:t>
      </w:r>
      <w:r w:rsidR="00C96A5B">
        <w:rPr>
          <w:b/>
          <w:sz w:val="27"/>
        </w:rPr>
        <w:t>PODBUDOWA  I  PODŁOŻE  ULEPSZONE</w:t>
      </w:r>
    </w:p>
    <w:p w:rsidR="00C96A5B" w:rsidRDefault="00C96A5B" w:rsidP="00C96A5B">
      <w:pPr>
        <w:jc w:val="center"/>
        <w:rPr>
          <w:b/>
          <w:sz w:val="27"/>
        </w:rPr>
      </w:pPr>
      <w:r>
        <w:rPr>
          <w:b/>
          <w:sz w:val="27"/>
        </w:rPr>
        <w:t>Z  MIESZANKI  KRUSZYWA  ZWIĄZANEGO  HYDRAULICZNIE  CEMENTEM</w:t>
      </w:r>
    </w:p>
    <w:p w:rsidR="00C96A5B" w:rsidRDefault="00C96A5B" w:rsidP="00C96A5B">
      <w:pPr>
        <w:jc w:val="center"/>
        <w:rPr>
          <w:b/>
          <w:sz w:val="28"/>
        </w:rPr>
      </w:pPr>
    </w:p>
    <w:p w:rsidR="00C96A5B" w:rsidRDefault="00C96A5B" w:rsidP="00C96A5B">
      <w:pPr>
        <w:pStyle w:val="Nagwek1"/>
      </w:pPr>
      <w:bookmarkStart w:id="555" w:name="_Toc332010311"/>
      <w:r>
        <w:t>1. WSTĘP</w:t>
      </w:r>
      <w:bookmarkEnd w:id="555"/>
    </w:p>
    <w:p w:rsidR="00C96A5B" w:rsidRDefault="00C96A5B" w:rsidP="00C96A5B">
      <w:pPr>
        <w:pStyle w:val="Nagwek2"/>
      </w:pPr>
      <w:r>
        <w:t>1.1. Przedmiot OST</w:t>
      </w:r>
    </w:p>
    <w:p w:rsidR="00C96A5B" w:rsidRDefault="00C96A5B" w:rsidP="00C96A5B">
      <w:pPr>
        <w:pStyle w:val="Standardowytekst"/>
      </w:pPr>
      <w:r>
        <w:tab/>
        <w:t>Przedmiotem niniejszej ogólnej specyfikacji technicznej (OST) są wymagania dotyczące wykonania i odbioru robót związanych z wykonaniem podbudowy lub podłoża ulepszonego z mieszanki kruszywa związanego hydraulicznie cementem.</w:t>
      </w:r>
    </w:p>
    <w:p w:rsidR="00C96A5B" w:rsidRDefault="00C96A5B" w:rsidP="00C96A5B">
      <w:pPr>
        <w:pStyle w:val="Nagwek2"/>
      </w:pPr>
      <w:r>
        <w:t>1.2. Zakres stosowania OST</w:t>
      </w:r>
    </w:p>
    <w:p w:rsidR="00C96A5B" w:rsidRDefault="00C96A5B" w:rsidP="00C96A5B">
      <w:pPr>
        <w:pStyle w:val="Standardowytekst"/>
      </w:pPr>
      <w: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C96A5B" w:rsidRDefault="00C96A5B" w:rsidP="00C96A5B">
      <w:pPr>
        <w:pStyle w:val="Nagwek2"/>
      </w:pPr>
      <w:r>
        <w:t>1.3. Zakres robót objętych OST</w:t>
      </w:r>
    </w:p>
    <w:p w:rsidR="00C96A5B" w:rsidRDefault="00C96A5B" w:rsidP="00C96A5B">
      <w:r>
        <w:tab/>
        <w:t>Ustalenia zawarte w niniejszej specyfikacji dotyczą zasad prowadzenia robót związanych z wykonaniem i odbiorem podbudowy zasadniczej, podbudowy pomocniczej lub podłoża ulepszonego z mieszanki kruszywa, wody, cementu i ewentualnych dodatków oraz domieszek. Materiał ten wiąże i twardnieje w obecności wody, tworząc stabilne i trwałe struktury.</w:t>
      </w:r>
    </w:p>
    <w:p w:rsidR="00C96A5B" w:rsidRDefault="00C96A5B" w:rsidP="00C96A5B">
      <w:r>
        <w:tab/>
        <w:t>W mieszance można stosować kruszywo naturalne, kruszywo z recyklingu oraz połączenia tych kruszyw. Do kruszyw mogą  należeć kruszywo kamienne, kruszywo żużlowe z żużla kawałkowego wielkopiecowego i kruszywo żużlowe z żużla stalowniczego, dla rodzajów mieszanek mineralnych 0/31,5 mm, 0/22,4 mm, 0/16 mm, 0/11,2 mm i 0/8 mm.</w:t>
      </w:r>
    </w:p>
    <w:p w:rsidR="00C96A5B" w:rsidRDefault="00C96A5B" w:rsidP="00C96A5B">
      <w:r>
        <w:tab/>
        <w:t>Mieszanki mogą być stosowane do wymienionych wyżej warstw nawierzchni drogowych, przenoszących ruch kategorii od KR1 do KR6.</w:t>
      </w:r>
    </w:p>
    <w:p w:rsidR="00C96A5B" w:rsidRDefault="00C96A5B" w:rsidP="00C96A5B">
      <w:r>
        <w:tab/>
        <w:t>Niniejsza specyfikacja techniczna dotyczy tylko mieszanek kruszyw związanych cementem, nie dotyczy gruntów ulepszonych cementem.</w:t>
      </w:r>
    </w:p>
    <w:p w:rsidR="00C96A5B" w:rsidRDefault="00C96A5B" w:rsidP="00C96A5B">
      <w:pPr>
        <w:pStyle w:val="Nagwek2"/>
      </w:pPr>
      <w:r>
        <w:t>1.4. Określenia podstawowe</w:t>
      </w:r>
    </w:p>
    <w:p w:rsidR="00C96A5B" w:rsidRDefault="00C96A5B" w:rsidP="00C96A5B">
      <w:r>
        <w:rPr>
          <w:b/>
        </w:rPr>
        <w:t xml:space="preserve">1.4.1. </w:t>
      </w:r>
      <w:r>
        <w:t>Mieszanka związana spoiwem hydraulicznym – mieszanka, w której następuje wiązanie i twardnienie na skutek reakcji hydraulicznych.</w:t>
      </w:r>
    </w:p>
    <w:p w:rsidR="00C96A5B" w:rsidRDefault="00C96A5B" w:rsidP="00C96A5B">
      <w:pPr>
        <w:spacing w:before="120"/>
      </w:pPr>
      <w:r>
        <w:rPr>
          <w:b/>
        </w:rPr>
        <w:t xml:space="preserve">1.4.2. </w:t>
      </w:r>
      <w:r>
        <w:t>Podłoże ulepszone z  mieszanki związanej spoiwem hydraulicznym – warstwa zawierająca kruszywo naturalne lub sztuczne albo z recyklingu lub ich mieszaninę i spoiwo hydrauliczne, zapewniająca umożliwienie ruchu technologicznego i właściwego wykonania nawierzchni. Do warstwy podłoża ulepszonego zalicza się także warstwę mrozoochronną, odcinającą i wzmacniającą, które powinny spełniać dodatkowe wymagania.</w:t>
      </w:r>
    </w:p>
    <w:p w:rsidR="00C96A5B" w:rsidRDefault="00C96A5B" w:rsidP="00C96A5B">
      <w:pPr>
        <w:spacing w:before="120"/>
      </w:pPr>
      <w:r>
        <w:rPr>
          <w:b/>
        </w:rPr>
        <w:t xml:space="preserve">1.4.3. </w:t>
      </w:r>
      <w:r>
        <w:t>Podbudowa pomocnicza z mieszanki związanej spoiwem hydraulicznym –  warstwa zawierająca kruszywo naturalne lub sztuczne a także z recyklingu lub ich mieszaninę i spoiwo hydrauliczne, zapewniająca przenoszenie obciążeń z warstwy podbudowy zasadniczej na warstwę podłoża.</w:t>
      </w:r>
    </w:p>
    <w:p w:rsidR="00C96A5B" w:rsidRDefault="00C96A5B" w:rsidP="00C96A5B">
      <w:pPr>
        <w:spacing w:before="120"/>
      </w:pPr>
      <w:r>
        <w:rPr>
          <w:b/>
        </w:rPr>
        <w:t xml:space="preserve">1.4.4. </w:t>
      </w:r>
      <w:r>
        <w:t xml:space="preserve">Podbudowa zasadnicza z mieszanki związanej spoiwem hydraulicznym –  warstwa zawierająca kruszywo naturalne lub sztuczne a także z recyklingu lub ich mieszaninę i spoiwo hydrauliczne, </w:t>
      </w:r>
      <w:r>
        <w:lastRenderedPageBreak/>
        <w:t>zapewniająca przenoszenie obciążeń z warstw jezdnych na warstwę podbudowy pomocniczej lub podłoże.</w:t>
      </w:r>
    </w:p>
    <w:p w:rsidR="00C96A5B" w:rsidRDefault="00C96A5B" w:rsidP="00C96A5B">
      <w:pPr>
        <w:spacing w:before="120"/>
      </w:pPr>
      <w:r>
        <w:rPr>
          <w:b/>
        </w:rPr>
        <w:t xml:space="preserve">1.4.5. </w:t>
      </w:r>
      <w:r>
        <w:t>Kruszywo – materiał ziarnisty stosowany w budownictwie, który może być naturalny, sztuczny lub z recyklingu.</w:t>
      </w:r>
    </w:p>
    <w:p w:rsidR="00C96A5B" w:rsidRDefault="00C96A5B" w:rsidP="00C96A5B">
      <w:pPr>
        <w:spacing w:before="120"/>
      </w:pPr>
      <w:r>
        <w:rPr>
          <w:b/>
        </w:rPr>
        <w:t xml:space="preserve">1.4.6. </w:t>
      </w:r>
      <w:r>
        <w:t>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rsidR="00C96A5B" w:rsidRDefault="00C96A5B" w:rsidP="00C96A5B">
      <w:pPr>
        <w:spacing w:before="120"/>
      </w:pPr>
      <w:r>
        <w:rPr>
          <w:b/>
        </w:rPr>
        <w:t xml:space="preserve">1.4.7. </w:t>
      </w:r>
      <w:r>
        <w:t xml:space="preserve"> Kruszywo sztuczne – kruszywo pochodzenia mineralnego, uzyskiwane w wyniku procesu przemysłowego obejmującego obróbkę termiczną lub inną modyfikację. Do kruszywa sztucznego zalicza się w szczególności kruszywo z żużli: wielkopiecowych, stalowniczych i pomiedziowych.</w:t>
      </w:r>
    </w:p>
    <w:p w:rsidR="00C96A5B" w:rsidRDefault="00C96A5B" w:rsidP="00C96A5B">
      <w:pPr>
        <w:spacing w:before="120"/>
      </w:pPr>
      <w:r>
        <w:rPr>
          <w:b/>
        </w:rPr>
        <w:t xml:space="preserve">1.4.8. </w:t>
      </w:r>
      <w:r>
        <w:t>Kruszywo z recyklingu – kruszywo powstałe w wyniku przeróbki materiału zastosowanego uprzednio w budownictwie.</w:t>
      </w:r>
    </w:p>
    <w:p w:rsidR="00C96A5B" w:rsidRDefault="00C96A5B" w:rsidP="00C96A5B">
      <w:pPr>
        <w:spacing w:before="120"/>
      </w:pPr>
      <w:r>
        <w:rPr>
          <w:b/>
        </w:rPr>
        <w:t xml:space="preserve">1.4.9. </w:t>
      </w:r>
      <w:r>
        <w:t>Kruszywo kamienne – kruszywo z mineralnych surowców jak żwir kruszony, mechanicznie rozdrobnione skały, nadziarno żwirowe.</w:t>
      </w:r>
    </w:p>
    <w:p w:rsidR="00C96A5B" w:rsidRDefault="00C96A5B" w:rsidP="00C96A5B">
      <w:pPr>
        <w:spacing w:before="120"/>
      </w:pPr>
      <w:r>
        <w:rPr>
          <w:b/>
        </w:rPr>
        <w:t xml:space="preserve">1.4.10. </w:t>
      </w:r>
      <w:r>
        <w:t>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rsidR="00C96A5B" w:rsidRDefault="00C96A5B" w:rsidP="00C96A5B">
      <w:pPr>
        <w:spacing w:before="120"/>
      </w:pPr>
      <w:r>
        <w:rPr>
          <w:b/>
        </w:rPr>
        <w:t xml:space="preserve">1.4.11. </w:t>
      </w:r>
      <w:r>
        <w:t>Kruszywo żużlowe z żużla stalowniczego – kruszywo składające się głównie ze skrystalizowanego krzemianu wapnia i ferrytu zawierającego CaO, SiO</w:t>
      </w:r>
      <w:r>
        <w:rPr>
          <w:vertAlign w:val="subscript"/>
        </w:rPr>
        <w:t>2</w:t>
      </w:r>
      <w:r>
        <w:t>, MgO oraz tlenek żelaza. Kruszywo otrzymuje się przez powolne schładzanie powietrzem ciekłego żużla stalowniczego. Proces chłodzenia może odbywać się przy kontrolowanym dodawaniu wody.</w:t>
      </w:r>
    </w:p>
    <w:p w:rsidR="00C96A5B" w:rsidRDefault="00C96A5B" w:rsidP="00C96A5B">
      <w:pPr>
        <w:spacing w:before="120"/>
      </w:pPr>
      <w:r>
        <w:rPr>
          <w:b/>
        </w:rPr>
        <w:t xml:space="preserve">1.4.12. </w:t>
      </w:r>
      <w:r>
        <w:t>Kategoria ruchu (KR1 – KR6) – obciążenie drogi ruchem samochodowym, wyrażone w osiach obliczeniowych (100 kN) według „Katalogu typowych konstrukcji nawierzchni podatnych i półsztywnych”. Generalna Dyrekcja Dróg Publicznych – Instytut Badawczy Dróg i Mostów, Warszawa 1997 [27].</w:t>
      </w:r>
    </w:p>
    <w:p w:rsidR="00C96A5B" w:rsidRDefault="00C96A5B" w:rsidP="00C96A5B">
      <w:pPr>
        <w:spacing w:before="120"/>
      </w:pPr>
      <w:r>
        <w:rPr>
          <w:b/>
        </w:rPr>
        <w:t xml:space="preserve">1.4.13. </w:t>
      </w:r>
      <w:r>
        <w:t xml:space="preserve">Kruszywo grube (wg PN-EN 13242) – oznaczenie kruszywa o wymiarach ziaren </w:t>
      </w:r>
      <w:r>
        <w:rPr>
          <w:i/>
        </w:rPr>
        <w:t>d</w:t>
      </w:r>
      <w:r>
        <w:t xml:space="preserve"> (dolnego) równym lub większym niż </w:t>
      </w:r>
      <w:smartTag w:uri="urn:schemas-microsoft-com:office:smarttags" w:element="metricconverter">
        <w:smartTagPr>
          <w:attr w:name="productid" w:val="1 mm"/>
        </w:smartTagPr>
        <w:r>
          <w:t>1 mm</w:t>
        </w:r>
      </w:smartTag>
      <w:r>
        <w:t xml:space="preserve"> oraz </w:t>
      </w:r>
      <w:r>
        <w:rPr>
          <w:i/>
        </w:rPr>
        <w:t xml:space="preserve">D </w:t>
      </w:r>
      <w:r>
        <w:t xml:space="preserve">(górnego) większym niż </w:t>
      </w:r>
      <w:smartTag w:uri="urn:schemas-microsoft-com:office:smarttags" w:element="metricconverter">
        <w:smartTagPr>
          <w:attr w:name="productid" w:val="2 mm"/>
        </w:smartTagPr>
        <w:r>
          <w:t>2 mm</w:t>
        </w:r>
      </w:smartTag>
      <w:r>
        <w:t>.</w:t>
      </w:r>
    </w:p>
    <w:p w:rsidR="00C96A5B" w:rsidRDefault="00C96A5B" w:rsidP="00C96A5B">
      <w:pPr>
        <w:spacing w:before="120"/>
      </w:pPr>
      <w:r>
        <w:rPr>
          <w:b/>
        </w:rPr>
        <w:t xml:space="preserve">1.4.14. </w:t>
      </w:r>
      <w:r>
        <w:t xml:space="preserve">Kruszywo drobne (wg PN-EN 13242) – oznaczenie kruszywa o wymiarach ziaren </w:t>
      </w:r>
      <w:r>
        <w:rPr>
          <w:i/>
        </w:rPr>
        <w:t>d</w:t>
      </w:r>
      <w:r>
        <w:t xml:space="preserve"> równym 0 oraz </w:t>
      </w:r>
      <w:r>
        <w:rPr>
          <w:i/>
        </w:rPr>
        <w:t xml:space="preserve">D </w:t>
      </w:r>
      <w:r>
        <w:t xml:space="preserve">równym </w:t>
      </w:r>
      <w:smartTag w:uri="urn:schemas-microsoft-com:office:smarttags" w:element="metricconverter">
        <w:smartTagPr>
          <w:attr w:name="productid" w:val="6,3 mm"/>
        </w:smartTagPr>
        <w:r>
          <w:t>6,3 mm</w:t>
        </w:r>
      </w:smartTag>
      <w:r>
        <w:t xml:space="preserve"> lub mniejszym.</w:t>
      </w:r>
    </w:p>
    <w:p w:rsidR="00C96A5B" w:rsidRDefault="00C96A5B" w:rsidP="00C96A5B">
      <w:pPr>
        <w:spacing w:before="120"/>
      </w:pPr>
      <w:r>
        <w:rPr>
          <w:b/>
        </w:rPr>
        <w:t xml:space="preserve">1.4.15. </w:t>
      </w:r>
      <w:r>
        <w:t xml:space="preserve">Kruszywo o ciągłym uziarnieniu (wg PN-EN 13242) – kruszywo stanowiące mieszankę kruszyw grubych i drobnych, w której </w:t>
      </w:r>
      <w:r>
        <w:rPr>
          <w:i/>
        </w:rPr>
        <w:t>D</w:t>
      </w:r>
      <w:r>
        <w:t xml:space="preserve"> jest większe niż </w:t>
      </w:r>
      <w:smartTag w:uri="urn:schemas-microsoft-com:office:smarttags" w:element="metricconverter">
        <w:smartTagPr>
          <w:attr w:name="productid" w:val="6,3 mm"/>
        </w:smartTagPr>
        <w:r>
          <w:t>6,3 mm</w:t>
        </w:r>
      </w:smartTag>
      <w:r>
        <w:t>.</w:t>
      </w:r>
    </w:p>
    <w:p w:rsidR="00C96A5B" w:rsidRDefault="00C96A5B" w:rsidP="00C96A5B">
      <w:pPr>
        <w:spacing w:before="120"/>
      </w:pPr>
      <w:r>
        <w:rPr>
          <w:b/>
        </w:rPr>
        <w:t xml:space="preserve">1.4.16. </w:t>
      </w:r>
      <w:r>
        <w:t>Mieszanka związana cementem – mieszanka związana hydraulicznie, składająca się z kruszywa o kontrolowanym uziarnieniu i cementu, wymieszana w sposób zapewniający uzyskanie jednorodnej mieszanki.</w:t>
      </w:r>
    </w:p>
    <w:p w:rsidR="00C96A5B" w:rsidRDefault="00C96A5B" w:rsidP="00C96A5B">
      <w:pPr>
        <w:spacing w:before="120"/>
      </w:pPr>
      <w:r>
        <w:rPr>
          <w:b/>
        </w:rPr>
        <w:t xml:space="preserve">1.4.17. </w:t>
      </w:r>
      <w:r>
        <w:t>Symbole i skróty dodatkowe</w:t>
      </w:r>
    </w:p>
    <w:p w:rsidR="00C96A5B" w:rsidRDefault="00C96A5B" w:rsidP="00C96A5B">
      <w:pPr>
        <w:spacing w:before="120"/>
      </w:pPr>
      <w:r>
        <w:t>% m/m</w:t>
      </w:r>
      <w:r>
        <w:tab/>
      </w:r>
      <w:r>
        <w:tab/>
        <w:t>procent masy,</w:t>
      </w:r>
    </w:p>
    <w:p w:rsidR="00C96A5B" w:rsidRDefault="00C96A5B" w:rsidP="00C96A5B">
      <w:r>
        <w:t>NR</w:t>
      </w:r>
      <w:r>
        <w:tab/>
      </w:r>
      <w:r>
        <w:tab/>
        <w:t>brak konieczności badania danej cechy,</w:t>
      </w:r>
    </w:p>
    <w:p w:rsidR="00C96A5B" w:rsidRDefault="00C96A5B" w:rsidP="00C96A5B">
      <w:r>
        <w:lastRenderedPageBreak/>
        <w:t>CBGM</w:t>
      </w:r>
      <w:r>
        <w:tab/>
      </w:r>
      <w:r>
        <w:tab/>
        <w:t>mieszanka związana cementem,</w:t>
      </w:r>
    </w:p>
    <w:p w:rsidR="00C96A5B" w:rsidRDefault="00C96A5B" w:rsidP="00C96A5B">
      <w:r>
        <w:t>CBR</w:t>
      </w:r>
      <w:r>
        <w:tab/>
      </w:r>
      <w:r>
        <w:tab/>
        <w:t>kalifornijski wskaźnik nośności, w procentach (%),</w:t>
      </w:r>
    </w:p>
    <w:p w:rsidR="00C96A5B" w:rsidRDefault="00C96A5B" w:rsidP="00C96A5B">
      <w:r>
        <w:t>d</w:t>
      </w:r>
      <w:r>
        <w:tab/>
      </w:r>
      <w:r>
        <w:tab/>
        <w:t>dolny wymiar sita (przy określaniu wielkości ziaren kruszywa),</w:t>
      </w:r>
    </w:p>
    <w:p w:rsidR="00C96A5B" w:rsidRDefault="00C96A5B" w:rsidP="00C96A5B">
      <w:r>
        <w:t>D</w:t>
      </w:r>
      <w:r>
        <w:tab/>
      </w:r>
      <w:r>
        <w:tab/>
        <w:t>górny wymiar sita (przy określaniu wielkości ziaren kruszywa),</w:t>
      </w:r>
    </w:p>
    <w:p w:rsidR="00C96A5B" w:rsidRDefault="00C96A5B" w:rsidP="00C96A5B">
      <w:r>
        <w:t>H/D</w:t>
      </w:r>
      <w:r>
        <w:tab/>
      </w:r>
      <w:r>
        <w:tab/>
        <w:t>stosunek wysokości do średnicy próbki.</w:t>
      </w:r>
    </w:p>
    <w:p w:rsidR="00C96A5B" w:rsidRDefault="00C96A5B" w:rsidP="00C96A5B">
      <w:pPr>
        <w:pStyle w:val="StylIwony"/>
        <w:spacing w:after="0"/>
        <w:rPr>
          <w:rFonts w:ascii="Times New Roman" w:hAnsi="Times New Roman"/>
          <w:sz w:val="20"/>
        </w:rPr>
      </w:pPr>
      <w:r>
        <w:rPr>
          <w:rFonts w:ascii="Times New Roman" w:hAnsi="Times New Roman"/>
          <w:b/>
          <w:sz w:val="20"/>
        </w:rPr>
        <w:t>1.4.18.</w:t>
      </w:r>
      <w:r>
        <w:rPr>
          <w:b/>
        </w:rPr>
        <w:t xml:space="preserve"> </w:t>
      </w:r>
      <w:r>
        <w:rPr>
          <w:rFonts w:ascii="Times New Roman" w:hAnsi="Times New Roman"/>
          <w:sz w:val="20"/>
        </w:rPr>
        <w:t>Pozostałe określenia podstawowe są zgodne z obowiązującymi, odpowiednimi polskimi normami i z definicjami podanymi w OST D-M-00.00.00 „Wymagania ogólne” [1] pkt 1.4.</w:t>
      </w:r>
    </w:p>
    <w:p w:rsidR="00C96A5B" w:rsidRDefault="00C96A5B" w:rsidP="00C96A5B">
      <w:pPr>
        <w:pStyle w:val="Nagwek2"/>
      </w:pPr>
      <w:r>
        <w:t>1.5. Ogólne wymagania dotyczące robót</w:t>
      </w:r>
    </w:p>
    <w:p w:rsidR="00C96A5B" w:rsidRDefault="00C96A5B" w:rsidP="00C96A5B">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OST D-M-00.00.00 „Wymagania ogólne” [1] pkt 1.5.</w:t>
      </w:r>
    </w:p>
    <w:p w:rsidR="00C96A5B" w:rsidRDefault="00C96A5B" w:rsidP="00C96A5B">
      <w:pPr>
        <w:pStyle w:val="Nagwek1"/>
      </w:pPr>
      <w:bookmarkStart w:id="556" w:name="_Toc431184075"/>
      <w:bookmarkStart w:id="557" w:name="_Toc208892382"/>
      <w:bookmarkStart w:id="558" w:name="_Toc210107778"/>
      <w:bookmarkStart w:id="559" w:name="_Toc236626156"/>
      <w:bookmarkStart w:id="560" w:name="_Toc332010312"/>
      <w:r>
        <w:t>2. MATERIAŁY</w:t>
      </w:r>
      <w:bookmarkEnd w:id="556"/>
      <w:bookmarkEnd w:id="557"/>
      <w:bookmarkEnd w:id="558"/>
      <w:bookmarkEnd w:id="559"/>
      <w:bookmarkEnd w:id="560"/>
    </w:p>
    <w:p w:rsidR="00C96A5B" w:rsidRDefault="00C96A5B" w:rsidP="00C96A5B">
      <w:pPr>
        <w:pStyle w:val="Nagwek2"/>
      </w:pPr>
      <w:r>
        <w:t>2.1. Ogólne wymagania dotyczące materiałów</w:t>
      </w:r>
    </w:p>
    <w:p w:rsidR="00C96A5B" w:rsidRDefault="00C96A5B" w:rsidP="00C96A5B">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OST D-M-00.00.00 „Wymagania ogólne” [1] pkt 2.</w:t>
      </w:r>
    </w:p>
    <w:p w:rsidR="00C96A5B" w:rsidRDefault="00C96A5B" w:rsidP="00C96A5B">
      <w:pPr>
        <w:pStyle w:val="Nagwek2"/>
      </w:pPr>
      <w:r>
        <w:t>2.2. Materiały do wykonania robót</w:t>
      </w:r>
    </w:p>
    <w:p w:rsidR="00C96A5B" w:rsidRDefault="00C96A5B" w:rsidP="00C96A5B">
      <w:pPr>
        <w:spacing w:after="120"/>
      </w:pPr>
      <w:r>
        <w:rPr>
          <w:b/>
        </w:rPr>
        <w:t xml:space="preserve">2.2.1. </w:t>
      </w:r>
      <w:r>
        <w:t xml:space="preserve"> Zgodność materiałów z dokumentacją projektową i aprobatą techniczną</w:t>
      </w:r>
    </w:p>
    <w:p w:rsidR="00C96A5B" w:rsidRDefault="00C96A5B" w:rsidP="00C96A5B">
      <w:pPr>
        <w:spacing w:after="120"/>
      </w:pPr>
      <w:r>
        <w:tab/>
        <w:t>Materiały do wykonania robót powinny być zgodne z ustaleniami dokumentacji projektowej lub ST względnie z wymaganiami europejskiej lub krajowej aprobaty technicznej.</w:t>
      </w:r>
    </w:p>
    <w:p w:rsidR="00C96A5B" w:rsidRDefault="00C96A5B" w:rsidP="00C96A5B">
      <w:pPr>
        <w:spacing w:after="120"/>
      </w:pPr>
      <w:r>
        <w:rPr>
          <w:b/>
        </w:rPr>
        <w:t xml:space="preserve">2.2.2. </w:t>
      </w:r>
      <w:r>
        <w:t>Materiały wchodzące w skład mieszanki</w:t>
      </w:r>
    </w:p>
    <w:p w:rsidR="00C96A5B" w:rsidRDefault="00C96A5B" w:rsidP="00C96A5B">
      <w:r>
        <w:tab/>
        <w:t>Materiałami stosowanymi do wytwarzania mieszanek związanych cementem są:</w:t>
      </w:r>
    </w:p>
    <w:p w:rsidR="00C96A5B" w:rsidRDefault="00C96A5B" w:rsidP="00B4292E">
      <w:pPr>
        <w:numPr>
          <w:ilvl w:val="0"/>
          <w:numId w:val="57"/>
        </w:numPr>
        <w:overflowPunct w:val="0"/>
        <w:autoSpaceDE w:val="0"/>
        <w:autoSpaceDN w:val="0"/>
        <w:adjustRightInd w:val="0"/>
        <w:spacing w:after="0" w:line="240" w:lineRule="auto"/>
        <w:jc w:val="both"/>
      </w:pPr>
      <w:r>
        <w:t>kruszywo,</w:t>
      </w:r>
    </w:p>
    <w:p w:rsidR="00C96A5B" w:rsidRDefault="00C96A5B" w:rsidP="00B4292E">
      <w:pPr>
        <w:numPr>
          <w:ilvl w:val="0"/>
          <w:numId w:val="57"/>
        </w:numPr>
        <w:overflowPunct w:val="0"/>
        <w:autoSpaceDE w:val="0"/>
        <w:autoSpaceDN w:val="0"/>
        <w:adjustRightInd w:val="0"/>
        <w:spacing w:after="0" w:line="240" w:lineRule="auto"/>
        <w:jc w:val="both"/>
      </w:pPr>
      <w:r>
        <w:t>cement,</w:t>
      </w:r>
    </w:p>
    <w:p w:rsidR="00C96A5B" w:rsidRDefault="00C96A5B" w:rsidP="00B4292E">
      <w:pPr>
        <w:numPr>
          <w:ilvl w:val="0"/>
          <w:numId w:val="57"/>
        </w:numPr>
        <w:overflowPunct w:val="0"/>
        <w:autoSpaceDE w:val="0"/>
        <w:autoSpaceDN w:val="0"/>
        <w:adjustRightInd w:val="0"/>
        <w:spacing w:after="0" w:line="240" w:lineRule="auto"/>
        <w:jc w:val="both"/>
      </w:pPr>
      <w:r>
        <w:t>woda zarobowa,</w:t>
      </w:r>
    </w:p>
    <w:p w:rsidR="00C96A5B" w:rsidRDefault="00C96A5B" w:rsidP="00B4292E">
      <w:pPr>
        <w:numPr>
          <w:ilvl w:val="0"/>
          <w:numId w:val="57"/>
        </w:numPr>
        <w:overflowPunct w:val="0"/>
        <w:autoSpaceDE w:val="0"/>
        <w:autoSpaceDN w:val="0"/>
        <w:adjustRightInd w:val="0"/>
        <w:spacing w:after="0" w:line="240" w:lineRule="auto"/>
        <w:jc w:val="both"/>
      </w:pPr>
      <w:r>
        <w:t>ew. dodatki,</w:t>
      </w:r>
    </w:p>
    <w:p w:rsidR="00C96A5B" w:rsidRDefault="00C96A5B" w:rsidP="00B4292E">
      <w:pPr>
        <w:numPr>
          <w:ilvl w:val="0"/>
          <w:numId w:val="57"/>
        </w:numPr>
        <w:overflowPunct w:val="0"/>
        <w:autoSpaceDE w:val="0"/>
        <w:autoSpaceDN w:val="0"/>
        <w:adjustRightInd w:val="0"/>
        <w:spacing w:after="0" w:line="240" w:lineRule="auto"/>
        <w:jc w:val="both"/>
      </w:pPr>
      <w:r>
        <w:t>ew. domieszki.</w:t>
      </w:r>
    </w:p>
    <w:p w:rsidR="00C96A5B" w:rsidRDefault="00C96A5B" w:rsidP="00C96A5B">
      <w:pPr>
        <w:spacing w:before="120" w:after="120"/>
      </w:pPr>
      <w:r>
        <w:rPr>
          <w:b/>
        </w:rPr>
        <w:t xml:space="preserve">2.2.3. </w:t>
      </w:r>
      <w:r>
        <w:t>Kruszywa</w:t>
      </w:r>
    </w:p>
    <w:p w:rsidR="00C96A5B" w:rsidRDefault="00C96A5B" w:rsidP="00C96A5B">
      <w:r>
        <w:tab/>
        <w:t>Do mieszanek można stosować następujące rodzaje kruszyw:</w:t>
      </w:r>
    </w:p>
    <w:p w:rsidR="00C96A5B" w:rsidRDefault="00C96A5B" w:rsidP="00B4292E">
      <w:pPr>
        <w:numPr>
          <w:ilvl w:val="0"/>
          <w:numId w:val="58"/>
        </w:numPr>
        <w:overflowPunct w:val="0"/>
        <w:autoSpaceDE w:val="0"/>
        <w:autoSpaceDN w:val="0"/>
        <w:adjustRightInd w:val="0"/>
        <w:spacing w:after="0" w:line="240" w:lineRule="auto"/>
        <w:jc w:val="both"/>
      </w:pPr>
      <w:r>
        <w:t>kruszywo naturalne lub sztuczne,</w:t>
      </w:r>
    </w:p>
    <w:p w:rsidR="00C96A5B" w:rsidRDefault="00C96A5B" w:rsidP="00B4292E">
      <w:pPr>
        <w:numPr>
          <w:ilvl w:val="0"/>
          <w:numId w:val="58"/>
        </w:numPr>
        <w:overflowPunct w:val="0"/>
        <w:autoSpaceDE w:val="0"/>
        <w:autoSpaceDN w:val="0"/>
        <w:adjustRightInd w:val="0"/>
        <w:spacing w:after="0" w:line="240" w:lineRule="auto"/>
        <w:jc w:val="both"/>
      </w:pPr>
      <w:r>
        <w:t>kruszywo z recyklingu,</w:t>
      </w:r>
    </w:p>
    <w:p w:rsidR="00C96A5B" w:rsidRDefault="00C96A5B" w:rsidP="00B4292E">
      <w:pPr>
        <w:numPr>
          <w:ilvl w:val="0"/>
          <w:numId w:val="58"/>
        </w:numPr>
        <w:overflowPunct w:val="0"/>
        <w:autoSpaceDE w:val="0"/>
        <w:autoSpaceDN w:val="0"/>
        <w:adjustRightInd w:val="0"/>
        <w:spacing w:after="0" w:line="240" w:lineRule="auto"/>
        <w:jc w:val="both"/>
      </w:pPr>
      <w:r>
        <w:t>połączenie kruszyw wymienionych w punktach a) i b) z określeniem proporcji kruszyw z a) i b) z dokładnością ± 5% m/m.</w:t>
      </w:r>
    </w:p>
    <w:p w:rsidR="00C96A5B" w:rsidRDefault="00C96A5B" w:rsidP="00C96A5B">
      <w:pPr>
        <w:ind w:firstLine="709"/>
      </w:pPr>
      <w:r>
        <w:t>Wymagania wobec kruszywa do warstw podbudowy i podłoża ulepszonego przedstawia tablica 1.</w:t>
      </w:r>
    </w:p>
    <w:p w:rsidR="00C96A5B" w:rsidRDefault="00C96A5B" w:rsidP="00C96A5B">
      <w:pPr>
        <w:pStyle w:val="Bezodstpw"/>
        <w:spacing w:before="120" w:after="120"/>
        <w:ind w:firstLine="0"/>
        <w:jc w:val="center"/>
        <w:rPr>
          <w:sz w:val="20"/>
          <w:szCs w:val="20"/>
        </w:rPr>
      </w:pPr>
      <w:r>
        <w:rPr>
          <w:sz w:val="20"/>
          <w:szCs w:val="20"/>
        </w:rPr>
        <w:t>Tablica 1. Wymagane właściwości kruszywa do warstw podbudowy i podłoża ulepszonego z mieszanek związanych cementem</w:t>
      </w:r>
    </w:p>
    <w:p w:rsidR="00C96A5B" w:rsidRDefault="00C96A5B" w:rsidP="00C96A5B">
      <w:pPr>
        <w:pStyle w:val="Bezodstpw"/>
        <w:ind w:firstLine="0"/>
        <w:jc w:val="center"/>
        <w:rPr>
          <w:sz w:val="16"/>
          <w:szCs w:val="16"/>
        </w:rPr>
      </w:pPr>
      <w:r>
        <w:rPr>
          <w:sz w:val="16"/>
          <w:szCs w:val="16"/>
        </w:rPr>
        <w:t>Skróty użyte w tablicy: Kat. – kategoria właściwości,  Dekl – deklarowana, wsk. – wskaźnik, wsp. – współczynnik, roz. -rozdział</w:t>
      </w:r>
    </w:p>
    <w:p w:rsidR="00C96A5B" w:rsidRDefault="00C96A5B" w:rsidP="00C96A5B">
      <w:pPr>
        <w:pStyle w:val="Bezodstpw"/>
        <w:rPr>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773"/>
        <w:gridCol w:w="2212"/>
        <w:gridCol w:w="55"/>
        <w:gridCol w:w="157"/>
        <w:gridCol w:w="2425"/>
      </w:tblGrid>
      <w:tr w:rsidR="00C96A5B" w:rsidTr="00E558D1">
        <w:tc>
          <w:tcPr>
            <w:tcW w:w="2376" w:type="dxa"/>
            <w:vMerge w:val="restart"/>
            <w:tcBorders>
              <w:top w:val="single" w:sz="4" w:space="0" w:color="auto"/>
              <w:left w:val="single" w:sz="4" w:space="0" w:color="auto"/>
              <w:bottom w:val="single" w:sz="4" w:space="0" w:color="auto"/>
              <w:right w:val="single" w:sz="4" w:space="0" w:color="auto"/>
            </w:tcBorders>
            <w:noWrap/>
            <w:vAlign w:val="center"/>
            <w:hideMark/>
          </w:tcPr>
          <w:p w:rsidR="00C96A5B" w:rsidRDefault="00C96A5B" w:rsidP="00E558D1">
            <w:pPr>
              <w:pStyle w:val="Bezodstpw"/>
              <w:ind w:firstLine="0"/>
              <w:jc w:val="center"/>
              <w:rPr>
                <w:sz w:val="20"/>
                <w:szCs w:val="20"/>
              </w:rPr>
            </w:pPr>
            <w:r>
              <w:rPr>
                <w:sz w:val="20"/>
                <w:szCs w:val="20"/>
              </w:rPr>
              <w:t>Właściwość</w:t>
            </w:r>
          </w:p>
          <w:p w:rsidR="00C96A5B" w:rsidRDefault="00C96A5B" w:rsidP="00E558D1">
            <w:pPr>
              <w:pStyle w:val="Bezodstpw"/>
              <w:ind w:firstLine="0"/>
              <w:jc w:val="center"/>
              <w:rPr>
                <w:sz w:val="20"/>
                <w:szCs w:val="20"/>
              </w:rPr>
            </w:pPr>
            <w:r>
              <w:rPr>
                <w:sz w:val="20"/>
                <w:szCs w:val="20"/>
              </w:rPr>
              <w:t>kruszywa</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rsidR="00C96A5B" w:rsidRDefault="00C96A5B" w:rsidP="00E558D1">
            <w:pPr>
              <w:pStyle w:val="Bezodstpw"/>
              <w:ind w:firstLine="0"/>
              <w:jc w:val="center"/>
              <w:rPr>
                <w:sz w:val="20"/>
                <w:szCs w:val="20"/>
              </w:rPr>
            </w:pPr>
            <w:r>
              <w:rPr>
                <w:sz w:val="20"/>
                <w:szCs w:val="20"/>
              </w:rPr>
              <w:t>Metoda</w:t>
            </w:r>
          </w:p>
          <w:p w:rsidR="00C96A5B" w:rsidRDefault="00C96A5B" w:rsidP="00E558D1">
            <w:pPr>
              <w:pStyle w:val="Bezodstpw"/>
              <w:ind w:firstLine="0"/>
              <w:jc w:val="center"/>
              <w:rPr>
                <w:sz w:val="20"/>
                <w:szCs w:val="20"/>
              </w:rPr>
            </w:pPr>
            <w:r>
              <w:rPr>
                <w:sz w:val="20"/>
                <w:szCs w:val="20"/>
              </w:rPr>
              <w:t>badania</w:t>
            </w:r>
          </w:p>
          <w:p w:rsidR="00C96A5B" w:rsidRDefault="00C96A5B" w:rsidP="00E558D1">
            <w:pPr>
              <w:pStyle w:val="Bezodstpw"/>
              <w:ind w:firstLine="0"/>
              <w:jc w:val="center"/>
              <w:rPr>
                <w:sz w:val="20"/>
                <w:szCs w:val="20"/>
              </w:rPr>
            </w:pPr>
            <w:r>
              <w:rPr>
                <w:sz w:val="20"/>
                <w:szCs w:val="20"/>
              </w:rPr>
              <w:t>wg</w:t>
            </w:r>
          </w:p>
        </w:tc>
        <w:tc>
          <w:tcPr>
            <w:tcW w:w="5560" w:type="dxa"/>
            <w:gridSpan w:val="5"/>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 xml:space="preserve">Wymagania wg WT-5, pkt 1.1.1 [ 25] i PN-EN 13242 [19] </w:t>
            </w:r>
          </w:p>
          <w:p w:rsidR="00C96A5B" w:rsidRDefault="00C96A5B" w:rsidP="00E558D1">
            <w:pPr>
              <w:pStyle w:val="Bezodstpw"/>
              <w:ind w:firstLine="0"/>
              <w:jc w:val="center"/>
              <w:rPr>
                <w:sz w:val="20"/>
                <w:szCs w:val="20"/>
              </w:rPr>
            </w:pPr>
            <w:r>
              <w:rPr>
                <w:sz w:val="20"/>
                <w:szCs w:val="20"/>
              </w:rPr>
              <w:t>dla ruchu kategorii KR1 ÷ KR6</w:t>
            </w:r>
          </w:p>
        </w:tc>
      </w:tr>
      <w:tr w:rsidR="00C96A5B" w:rsidTr="00E558D1">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pPr>
              <w:rPr>
                <w:rFonts w:eastAsia="Calibri"/>
              </w:rPr>
            </w:pPr>
          </w:p>
        </w:tc>
        <w:tc>
          <w:tcPr>
            <w:tcW w:w="711" w:type="dxa"/>
            <w:vMerge w:val="restart"/>
            <w:tcBorders>
              <w:top w:val="single" w:sz="4" w:space="0" w:color="auto"/>
              <w:left w:val="single" w:sz="4" w:space="0" w:color="auto"/>
              <w:bottom w:val="single" w:sz="4" w:space="0" w:color="auto"/>
              <w:right w:val="single" w:sz="4" w:space="0" w:color="auto"/>
            </w:tcBorders>
            <w:noWrap/>
            <w:vAlign w:val="center"/>
            <w:hideMark/>
          </w:tcPr>
          <w:p w:rsidR="00C96A5B" w:rsidRDefault="00C96A5B" w:rsidP="00E558D1">
            <w:pPr>
              <w:pStyle w:val="Bezodstpw"/>
              <w:ind w:firstLine="0"/>
              <w:jc w:val="center"/>
              <w:rPr>
                <w:sz w:val="20"/>
                <w:szCs w:val="20"/>
              </w:rPr>
            </w:pPr>
            <w:r>
              <w:rPr>
                <w:sz w:val="20"/>
                <w:szCs w:val="20"/>
              </w:rPr>
              <w:t>Punkt</w:t>
            </w:r>
          </w:p>
          <w:p w:rsidR="00C96A5B" w:rsidRDefault="00C96A5B" w:rsidP="00E558D1">
            <w:pPr>
              <w:pStyle w:val="Bezodstpw"/>
              <w:ind w:firstLine="0"/>
              <w:jc w:val="center"/>
              <w:rPr>
                <w:sz w:val="20"/>
                <w:szCs w:val="20"/>
              </w:rPr>
            </w:pPr>
            <w:r>
              <w:rPr>
                <w:sz w:val="20"/>
                <w:szCs w:val="20"/>
              </w:rPr>
              <w:t>PN-EN</w:t>
            </w:r>
          </w:p>
          <w:p w:rsidR="00C96A5B" w:rsidRDefault="00C96A5B" w:rsidP="00E558D1">
            <w:pPr>
              <w:pStyle w:val="Bezodstpw"/>
              <w:ind w:firstLine="0"/>
              <w:jc w:val="center"/>
              <w:rPr>
                <w:sz w:val="20"/>
                <w:szCs w:val="20"/>
              </w:rPr>
            </w:pPr>
            <w:r>
              <w:rPr>
                <w:sz w:val="20"/>
                <w:szCs w:val="20"/>
              </w:rPr>
              <w:t>13242</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dla kruszywa związanego cementem w warstwie</w:t>
            </w:r>
          </w:p>
        </w:tc>
      </w:tr>
      <w:tr w:rsidR="00C96A5B" w:rsidTr="00E558D1">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pPr>
              <w:rPr>
                <w:rFonts w:eastAsia="Calibri"/>
              </w:rPr>
            </w:pPr>
          </w:p>
        </w:tc>
        <w:tc>
          <w:tcPr>
            <w:tcW w:w="2267" w:type="dxa"/>
            <w:gridSpan w:val="2"/>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podłoża ulepszonego i podbudowy pomocniczej</w:t>
            </w:r>
          </w:p>
        </w:tc>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C96A5B" w:rsidRDefault="00C96A5B" w:rsidP="00E558D1">
            <w:pPr>
              <w:pStyle w:val="Bezodstpw"/>
              <w:ind w:firstLine="0"/>
              <w:jc w:val="center"/>
              <w:rPr>
                <w:sz w:val="20"/>
                <w:szCs w:val="20"/>
              </w:rPr>
            </w:pPr>
            <w:r>
              <w:rPr>
                <w:sz w:val="20"/>
                <w:szCs w:val="20"/>
              </w:rPr>
              <w:t>podbudowy zasadniczej</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Frakcje/zestaw sit #</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4.1</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Zestaw sit podstawowy plus zestaw 1.</w:t>
            </w:r>
          </w:p>
          <w:p w:rsidR="00C96A5B" w:rsidRDefault="00C96A5B" w:rsidP="00E558D1">
            <w:pPr>
              <w:pStyle w:val="Bezodstpw"/>
              <w:ind w:firstLine="0"/>
              <w:rPr>
                <w:sz w:val="20"/>
                <w:szCs w:val="20"/>
              </w:rPr>
            </w:pPr>
            <w:r>
              <w:rPr>
                <w:sz w:val="20"/>
                <w:szCs w:val="20"/>
              </w:rPr>
              <w:lastRenderedPageBreak/>
              <w:t>Wszystkie frakcje dozwolone</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lastRenderedPageBreak/>
              <w:t>Uziarnienie</w:t>
            </w:r>
          </w:p>
        </w:tc>
        <w:tc>
          <w:tcPr>
            <w:tcW w:w="1276" w:type="dxa"/>
            <w:tcBorders>
              <w:top w:val="single" w:sz="4" w:space="0" w:color="auto"/>
              <w:left w:val="single" w:sz="4" w:space="0" w:color="auto"/>
              <w:bottom w:val="single" w:sz="4" w:space="0" w:color="auto"/>
              <w:right w:val="single" w:sz="4" w:space="0" w:color="auto"/>
            </w:tcBorders>
            <w:noWrap/>
          </w:tcPr>
          <w:p w:rsidR="00C96A5B" w:rsidRDefault="00C96A5B" w:rsidP="00E558D1">
            <w:pPr>
              <w:pStyle w:val="Bezodstpw"/>
              <w:ind w:firstLine="0"/>
              <w:rPr>
                <w:sz w:val="20"/>
                <w:szCs w:val="20"/>
              </w:rPr>
            </w:pPr>
            <w:r>
              <w:rPr>
                <w:sz w:val="20"/>
                <w:szCs w:val="20"/>
              </w:rPr>
              <w:t>PN-EN</w:t>
            </w:r>
          </w:p>
          <w:p w:rsidR="00C96A5B" w:rsidRDefault="00C96A5B" w:rsidP="00E558D1">
            <w:pPr>
              <w:pStyle w:val="Bezodstpw"/>
              <w:ind w:firstLine="0"/>
              <w:rPr>
                <w:sz w:val="20"/>
                <w:szCs w:val="20"/>
              </w:rPr>
            </w:pPr>
            <w:r>
              <w:rPr>
                <w:sz w:val="20"/>
                <w:szCs w:val="20"/>
              </w:rPr>
              <w:t>933-1 [6]</w:t>
            </w:r>
          </w:p>
          <w:p w:rsidR="00C96A5B" w:rsidRDefault="00C96A5B" w:rsidP="00E558D1">
            <w:pPr>
              <w:pStyle w:val="Bezodstpw"/>
              <w:ind w:firstLine="0"/>
              <w:rPr>
                <w:sz w:val="20"/>
                <w:szCs w:val="20"/>
              </w:rPr>
            </w:pP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4.3.1</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Kruszywo grube: kat. G</w:t>
            </w:r>
            <w:r>
              <w:rPr>
                <w:sz w:val="20"/>
                <w:szCs w:val="20"/>
                <w:vertAlign w:val="subscript"/>
              </w:rPr>
              <w:t>C</w:t>
            </w:r>
            <w:r>
              <w:rPr>
                <w:sz w:val="20"/>
                <w:szCs w:val="20"/>
              </w:rPr>
              <w:t>80/20,   kruszywo drobne: kat. G</w:t>
            </w:r>
            <w:r>
              <w:rPr>
                <w:sz w:val="20"/>
                <w:szCs w:val="20"/>
                <w:vertAlign w:val="subscript"/>
              </w:rPr>
              <w:t>F</w:t>
            </w:r>
            <w:r>
              <w:rPr>
                <w:sz w:val="20"/>
                <w:szCs w:val="20"/>
              </w:rPr>
              <w:t>80,   kruszywo o ciągłym uziarnieniu: kat. G</w:t>
            </w:r>
            <w:r>
              <w:rPr>
                <w:sz w:val="20"/>
                <w:szCs w:val="20"/>
                <w:vertAlign w:val="subscript"/>
              </w:rPr>
              <w:t>A</w:t>
            </w:r>
            <w:r>
              <w:rPr>
                <w:sz w:val="20"/>
                <w:szCs w:val="20"/>
              </w:rPr>
              <w:t xml:space="preserve">75.   </w:t>
            </w:r>
          </w:p>
          <w:p w:rsidR="00C96A5B" w:rsidRDefault="00C96A5B" w:rsidP="00E558D1">
            <w:pPr>
              <w:pStyle w:val="Bezodstpw"/>
              <w:ind w:firstLine="0"/>
              <w:rPr>
                <w:sz w:val="20"/>
                <w:szCs w:val="20"/>
              </w:rPr>
            </w:pPr>
            <w:r>
              <w:rPr>
                <w:sz w:val="20"/>
                <w:szCs w:val="20"/>
              </w:rPr>
              <w:t>Uziarnienie mieszanek kruszywa wg rysunków 1÷5</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 xml:space="preserve">Ogólne granice i tolerancje uziarnienia kruszywa grubego na sitach pośrednich </w:t>
            </w:r>
          </w:p>
        </w:tc>
        <w:tc>
          <w:tcPr>
            <w:tcW w:w="1276" w:type="dxa"/>
            <w:tcBorders>
              <w:top w:val="single" w:sz="4" w:space="0" w:color="auto"/>
              <w:left w:val="single" w:sz="4" w:space="0" w:color="auto"/>
              <w:bottom w:val="single" w:sz="4" w:space="0" w:color="auto"/>
              <w:right w:val="single" w:sz="4" w:space="0" w:color="auto"/>
            </w:tcBorders>
            <w:noWrap/>
          </w:tcPr>
          <w:p w:rsidR="00C96A5B" w:rsidRDefault="00C96A5B" w:rsidP="00E558D1">
            <w:pPr>
              <w:pStyle w:val="Bezodstpw"/>
              <w:ind w:firstLine="0"/>
              <w:rPr>
                <w:sz w:val="20"/>
                <w:szCs w:val="20"/>
              </w:rPr>
            </w:pPr>
            <w:r>
              <w:rPr>
                <w:sz w:val="20"/>
                <w:szCs w:val="20"/>
              </w:rPr>
              <w:t>PN-EN</w:t>
            </w:r>
          </w:p>
          <w:p w:rsidR="00C96A5B" w:rsidRDefault="00C96A5B" w:rsidP="00E558D1">
            <w:pPr>
              <w:pStyle w:val="Bezodstpw"/>
              <w:ind w:firstLine="0"/>
              <w:rPr>
                <w:sz w:val="20"/>
                <w:szCs w:val="20"/>
              </w:rPr>
            </w:pPr>
            <w:r>
              <w:rPr>
                <w:sz w:val="20"/>
                <w:szCs w:val="20"/>
              </w:rPr>
              <w:t>933-1 [6]</w:t>
            </w:r>
          </w:p>
          <w:p w:rsidR="00C96A5B" w:rsidRDefault="00C96A5B" w:rsidP="00E558D1">
            <w:pPr>
              <w:pStyle w:val="Bezodstpw"/>
              <w:ind w:firstLine="0"/>
              <w:rPr>
                <w:sz w:val="20"/>
                <w:szCs w:val="20"/>
              </w:rPr>
            </w:pP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4.3.2</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GT</w:t>
            </w:r>
            <w:r>
              <w:rPr>
                <w:sz w:val="20"/>
                <w:szCs w:val="20"/>
                <w:vertAlign w:val="subscript"/>
              </w:rPr>
              <w:t>C</w:t>
            </w:r>
            <w:r>
              <w:rPr>
                <w:sz w:val="20"/>
                <w:szCs w:val="20"/>
              </w:rPr>
              <w:t>NR (tj. brak wymagania)</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Tolerancje typowego uziarnienia kruszywa drobnego i kruszywa o ciągłym uziarnieniu</w:t>
            </w:r>
          </w:p>
        </w:tc>
        <w:tc>
          <w:tcPr>
            <w:tcW w:w="1276" w:type="dxa"/>
            <w:tcBorders>
              <w:top w:val="single" w:sz="4" w:space="0" w:color="auto"/>
              <w:left w:val="single" w:sz="4" w:space="0" w:color="auto"/>
              <w:bottom w:val="single" w:sz="4" w:space="0" w:color="auto"/>
              <w:right w:val="single" w:sz="4" w:space="0" w:color="auto"/>
            </w:tcBorders>
            <w:noWrap/>
          </w:tcPr>
          <w:p w:rsidR="00C96A5B" w:rsidRDefault="00C96A5B" w:rsidP="00E558D1">
            <w:pPr>
              <w:pStyle w:val="Bezodstpw"/>
              <w:ind w:firstLine="0"/>
              <w:rPr>
                <w:sz w:val="20"/>
                <w:szCs w:val="20"/>
              </w:rPr>
            </w:pPr>
            <w:r>
              <w:rPr>
                <w:sz w:val="20"/>
                <w:szCs w:val="20"/>
              </w:rPr>
              <w:t>PN-EN</w:t>
            </w:r>
          </w:p>
          <w:p w:rsidR="00C96A5B" w:rsidRDefault="00C96A5B" w:rsidP="00E558D1">
            <w:pPr>
              <w:pStyle w:val="Bezodstpw"/>
              <w:ind w:firstLine="0"/>
              <w:rPr>
                <w:sz w:val="20"/>
                <w:szCs w:val="20"/>
              </w:rPr>
            </w:pPr>
            <w:r>
              <w:rPr>
                <w:sz w:val="20"/>
                <w:szCs w:val="20"/>
              </w:rPr>
              <w:t>933-1 [6]</w:t>
            </w:r>
          </w:p>
          <w:p w:rsidR="00C96A5B" w:rsidRDefault="00C96A5B" w:rsidP="00E558D1">
            <w:pPr>
              <w:pStyle w:val="Bezodstpw"/>
              <w:ind w:firstLine="0"/>
              <w:rPr>
                <w:sz w:val="20"/>
                <w:szCs w:val="20"/>
              </w:rPr>
            </w:pP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4.3.3</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Kruszywo drobne: kat. GT</w:t>
            </w:r>
            <w:r>
              <w:rPr>
                <w:sz w:val="20"/>
                <w:szCs w:val="20"/>
                <w:vertAlign w:val="subscript"/>
              </w:rPr>
              <w:t>F</w:t>
            </w:r>
            <w:r>
              <w:rPr>
                <w:sz w:val="20"/>
                <w:szCs w:val="20"/>
              </w:rPr>
              <w:t>NR (tj. brak wymagania), kruszywo o ciągłym uziarnieniu: kat. GT</w:t>
            </w:r>
            <w:r>
              <w:rPr>
                <w:sz w:val="20"/>
                <w:szCs w:val="20"/>
                <w:vertAlign w:val="subscript"/>
              </w:rPr>
              <w:t>A</w:t>
            </w:r>
            <w:r>
              <w:rPr>
                <w:sz w:val="20"/>
                <w:szCs w:val="20"/>
              </w:rPr>
              <w:t>NR (tj. brak wymagania)</w:t>
            </w:r>
          </w:p>
        </w:tc>
      </w:tr>
      <w:tr w:rsidR="00C96A5B" w:rsidTr="00E558D1">
        <w:trPr>
          <w:trHeight w:val="671"/>
        </w:trPr>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Kształt kruszywa grubego – maksymalne warunki wskaźnika płaskości</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PN-EN</w:t>
            </w:r>
          </w:p>
          <w:p w:rsidR="00C96A5B" w:rsidRDefault="00C96A5B" w:rsidP="00E558D1">
            <w:pPr>
              <w:pStyle w:val="Bezodstpw"/>
              <w:ind w:firstLine="0"/>
              <w:rPr>
                <w:sz w:val="20"/>
                <w:szCs w:val="20"/>
                <w:vertAlign w:val="superscript"/>
              </w:rPr>
            </w:pPr>
            <w:r>
              <w:rPr>
                <w:sz w:val="20"/>
                <w:szCs w:val="20"/>
              </w:rPr>
              <w:t>933-3</w:t>
            </w:r>
            <w:r>
              <w:rPr>
                <w:sz w:val="20"/>
                <w:szCs w:val="20"/>
                <w:vertAlign w:val="superscript"/>
              </w:rPr>
              <w:t>*)</w:t>
            </w:r>
            <w:r>
              <w:rPr>
                <w:sz w:val="20"/>
                <w:szCs w:val="20"/>
              </w:rPr>
              <w:t xml:space="preserve">  [7]</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4.4</w:t>
            </w:r>
          </w:p>
        </w:tc>
        <w:tc>
          <w:tcPr>
            <w:tcW w:w="2267" w:type="dxa"/>
            <w:gridSpan w:val="2"/>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FI</w:t>
            </w:r>
            <w:r>
              <w:rPr>
                <w:sz w:val="20"/>
                <w:szCs w:val="20"/>
                <w:vertAlign w:val="subscript"/>
              </w:rPr>
              <w:t xml:space="preserve">Dekl </w:t>
            </w:r>
            <w:r>
              <w:rPr>
                <w:sz w:val="20"/>
                <w:szCs w:val="20"/>
              </w:rPr>
              <w:t>(tj. wsk. płasko-</w:t>
            </w:r>
            <w:r>
              <w:rPr>
                <w:sz w:val="20"/>
                <w:szCs w:val="20"/>
              </w:rPr>
              <w:br/>
              <w:t>ści &gt; 50)</w:t>
            </w:r>
          </w:p>
        </w:tc>
        <w:tc>
          <w:tcPr>
            <w:tcW w:w="2582" w:type="dxa"/>
            <w:gridSpan w:val="2"/>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FI</w:t>
            </w:r>
            <w:r>
              <w:rPr>
                <w:sz w:val="20"/>
                <w:szCs w:val="20"/>
                <w:vertAlign w:val="subscript"/>
              </w:rPr>
              <w:t>50</w:t>
            </w:r>
            <w:r>
              <w:rPr>
                <w:sz w:val="20"/>
                <w:szCs w:val="20"/>
              </w:rPr>
              <w:t xml:space="preserve"> (tj. wsk. płaskości             ≤ 50)</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Kształt kruszywa grubego – maksymalne wartości wskaźnika kształtu</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PN-EN</w:t>
            </w:r>
          </w:p>
          <w:p w:rsidR="00C96A5B" w:rsidRDefault="00C96A5B" w:rsidP="00E558D1">
            <w:pPr>
              <w:pStyle w:val="Bezodstpw"/>
              <w:ind w:firstLine="0"/>
              <w:rPr>
                <w:sz w:val="20"/>
                <w:szCs w:val="20"/>
              </w:rPr>
            </w:pPr>
            <w:r>
              <w:rPr>
                <w:sz w:val="20"/>
                <w:szCs w:val="20"/>
              </w:rPr>
              <w:t>933-4</w:t>
            </w:r>
            <w:r>
              <w:rPr>
                <w:sz w:val="20"/>
                <w:szCs w:val="20"/>
                <w:vertAlign w:val="superscript"/>
              </w:rPr>
              <w:t>*)</w:t>
            </w:r>
            <w:r>
              <w:rPr>
                <w:sz w:val="20"/>
                <w:szCs w:val="20"/>
              </w:rPr>
              <w:t xml:space="preserve">  [8]</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4.4</w:t>
            </w:r>
          </w:p>
        </w:tc>
        <w:tc>
          <w:tcPr>
            <w:tcW w:w="2267" w:type="dxa"/>
            <w:gridSpan w:val="2"/>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SI</w:t>
            </w:r>
            <w:r>
              <w:rPr>
                <w:sz w:val="20"/>
                <w:szCs w:val="20"/>
                <w:vertAlign w:val="subscript"/>
              </w:rPr>
              <w:t xml:space="preserve">Dekl </w:t>
            </w:r>
            <w:r>
              <w:rPr>
                <w:sz w:val="20"/>
                <w:szCs w:val="20"/>
              </w:rPr>
              <w:t>(tj. wsk. kształtu &gt;55)</w:t>
            </w:r>
          </w:p>
        </w:tc>
        <w:tc>
          <w:tcPr>
            <w:tcW w:w="2582" w:type="dxa"/>
            <w:gridSpan w:val="2"/>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SI</w:t>
            </w:r>
            <w:r>
              <w:rPr>
                <w:sz w:val="20"/>
                <w:szCs w:val="20"/>
                <w:vertAlign w:val="subscript"/>
              </w:rPr>
              <w:t>50</w:t>
            </w:r>
            <w:r>
              <w:rPr>
                <w:sz w:val="20"/>
                <w:szCs w:val="20"/>
              </w:rPr>
              <w:t xml:space="preserve"> (tj. wsk. kształtu ≤ 55)</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Kategorie procentowych zawartości ziaren o powierzchniach przekruszonych lub łamanych oraz ziaren całkowicie zaokrąglonych w kruszywie grubym</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PN-EN</w:t>
            </w:r>
          </w:p>
          <w:p w:rsidR="00C96A5B" w:rsidRDefault="00C96A5B" w:rsidP="00E558D1">
            <w:pPr>
              <w:pStyle w:val="Bezodstpw"/>
              <w:ind w:firstLine="0"/>
              <w:rPr>
                <w:sz w:val="20"/>
                <w:szCs w:val="20"/>
              </w:rPr>
            </w:pPr>
            <w:r>
              <w:rPr>
                <w:sz w:val="20"/>
                <w:szCs w:val="20"/>
              </w:rPr>
              <w:t>933-5    [9]</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4.5</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C</w:t>
            </w:r>
            <w:r>
              <w:rPr>
                <w:sz w:val="20"/>
                <w:szCs w:val="20"/>
                <w:vertAlign w:val="subscript"/>
              </w:rPr>
              <w:t>NR</w:t>
            </w:r>
            <w:r>
              <w:rPr>
                <w:sz w:val="20"/>
                <w:szCs w:val="20"/>
              </w:rPr>
              <w:t xml:space="preserve"> (tj. brak wymagania)</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Zawartość pyłów</w:t>
            </w:r>
            <w:r>
              <w:rPr>
                <w:sz w:val="20"/>
                <w:szCs w:val="20"/>
                <w:vertAlign w:val="superscript"/>
              </w:rPr>
              <w:t>**)</w:t>
            </w:r>
            <w:r>
              <w:rPr>
                <w:sz w:val="20"/>
                <w:szCs w:val="20"/>
              </w:rPr>
              <w:t xml:space="preserve"> w kru-</w:t>
            </w:r>
            <w:r>
              <w:rPr>
                <w:sz w:val="20"/>
                <w:szCs w:val="20"/>
              </w:rPr>
              <w:br/>
              <w:t>szywie grubym</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PN-EN</w:t>
            </w:r>
          </w:p>
          <w:p w:rsidR="00C96A5B" w:rsidRDefault="00C96A5B" w:rsidP="00E558D1">
            <w:pPr>
              <w:pStyle w:val="Bezodstpw"/>
              <w:ind w:firstLine="0"/>
              <w:rPr>
                <w:sz w:val="20"/>
                <w:szCs w:val="20"/>
              </w:rPr>
            </w:pPr>
            <w:r>
              <w:rPr>
                <w:sz w:val="20"/>
                <w:szCs w:val="20"/>
              </w:rPr>
              <w:t>933-1 [6]</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4.6</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f</w:t>
            </w:r>
            <w:r>
              <w:rPr>
                <w:sz w:val="20"/>
                <w:szCs w:val="20"/>
                <w:vertAlign w:val="subscript"/>
              </w:rPr>
              <w:t>Dekl</w:t>
            </w:r>
            <w:r>
              <w:rPr>
                <w:sz w:val="20"/>
                <w:szCs w:val="20"/>
              </w:rPr>
              <w:t xml:space="preserve">  (tj. masa frakcji przechodzącej przez sito </w:t>
            </w:r>
            <w:smartTag w:uri="urn:schemas-microsoft-com:office:smarttags" w:element="metricconverter">
              <w:smartTagPr>
                <w:attr w:name="productid" w:val="0,063 mm"/>
              </w:smartTagPr>
              <w:r>
                <w:rPr>
                  <w:sz w:val="20"/>
                  <w:szCs w:val="20"/>
                </w:rPr>
                <w:t>0,063 mm</w:t>
              </w:r>
            </w:smartTag>
            <w:r>
              <w:rPr>
                <w:sz w:val="20"/>
                <w:szCs w:val="20"/>
              </w:rPr>
              <w:t xml:space="preserve"> jest &gt; 4)</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Zawartość pyłów</w:t>
            </w:r>
            <w:r>
              <w:rPr>
                <w:sz w:val="20"/>
                <w:szCs w:val="20"/>
                <w:vertAlign w:val="superscript"/>
              </w:rPr>
              <w:t xml:space="preserve">**)  </w:t>
            </w:r>
            <w:r>
              <w:rPr>
                <w:sz w:val="20"/>
                <w:szCs w:val="20"/>
              </w:rPr>
              <w:t xml:space="preserve"> w  kruszywie drobnym</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 xml:space="preserve">PN-EN   </w:t>
            </w:r>
          </w:p>
          <w:p w:rsidR="00C96A5B" w:rsidRDefault="00C96A5B" w:rsidP="00E558D1">
            <w:pPr>
              <w:pStyle w:val="Bezodstpw"/>
              <w:ind w:firstLine="0"/>
              <w:rPr>
                <w:sz w:val="20"/>
                <w:szCs w:val="20"/>
              </w:rPr>
            </w:pPr>
            <w:r>
              <w:rPr>
                <w:sz w:val="20"/>
                <w:szCs w:val="20"/>
              </w:rPr>
              <w:t xml:space="preserve">933-1 [6] </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4.6</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f</w:t>
            </w:r>
            <w:r>
              <w:rPr>
                <w:sz w:val="20"/>
                <w:szCs w:val="20"/>
                <w:vertAlign w:val="subscript"/>
              </w:rPr>
              <w:t>Dekl</w:t>
            </w:r>
            <w:r>
              <w:rPr>
                <w:sz w:val="20"/>
                <w:szCs w:val="20"/>
              </w:rPr>
              <w:t xml:space="preserve">  (tj. masa frakcji przechodzącej przez sito </w:t>
            </w:r>
            <w:smartTag w:uri="urn:schemas-microsoft-com:office:smarttags" w:element="metricconverter">
              <w:smartTagPr>
                <w:attr w:name="productid" w:val="0,063 mm"/>
              </w:smartTagPr>
              <w:r>
                <w:rPr>
                  <w:sz w:val="20"/>
                  <w:szCs w:val="20"/>
                </w:rPr>
                <w:t>0,063 mm</w:t>
              </w:r>
            </w:smartTag>
            <w:r>
              <w:rPr>
                <w:sz w:val="20"/>
                <w:szCs w:val="20"/>
              </w:rPr>
              <w:t xml:space="preserve"> jest &gt; 22)</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Jakość pyłów</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4.7</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Brak wymagań</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Odporność na rozdrabnianie kruszywa grubego</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 xml:space="preserve">PN-EN </w:t>
            </w:r>
          </w:p>
          <w:p w:rsidR="00C96A5B" w:rsidRDefault="00C96A5B" w:rsidP="00E558D1">
            <w:pPr>
              <w:pStyle w:val="Bezodstpw"/>
              <w:ind w:firstLine="0"/>
              <w:rPr>
                <w:sz w:val="20"/>
                <w:szCs w:val="20"/>
              </w:rPr>
            </w:pPr>
            <w:r>
              <w:rPr>
                <w:sz w:val="20"/>
                <w:szCs w:val="20"/>
              </w:rPr>
              <w:t xml:space="preserve">1097-2 [13] </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5.2</w:t>
            </w:r>
          </w:p>
        </w:tc>
        <w:tc>
          <w:tcPr>
            <w:tcW w:w="2212"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lang w:val="en-US"/>
              </w:rPr>
            </w:pPr>
            <w:r>
              <w:rPr>
                <w:sz w:val="20"/>
                <w:szCs w:val="20"/>
                <w:lang w:val="en-US"/>
              </w:rPr>
              <w:t>Kat. LA</w:t>
            </w:r>
            <w:r>
              <w:rPr>
                <w:sz w:val="20"/>
                <w:szCs w:val="20"/>
                <w:vertAlign w:val="subscript"/>
                <w:lang w:val="en-US"/>
              </w:rPr>
              <w:t>60</w:t>
            </w:r>
            <w:r>
              <w:rPr>
                <w:sz w:val="20"/>
                <w:szCs w:val="20"/>
                <w:lang w:val="en-US"/>
              </w:rPr>
              <w:t xml:space="preserve"> (tj. wsp. </w:t>
            </w:r>
            <w:smartTag w:uri="urn:schemas-microsoft-com:office:smarttags" w:element="place">
              <w:r>
                <w:rPr>
                  <w:sz w:val="20"/>
                  <w:szCs w:val="20"/>
                  <w:lang w:val="en-US"/>
                </w:rPr>
                <w:t>Los Angeles</w:t>
              </w:r>
            </w:smartTag>
            <w:r>
              <w:rPr>
                <w:sz w:val="20"/>
                <w:szCs w:val="20"/>
                <w:lang w:val="en-US"/>
              </w:rPr>
              <w:t xml:space="preserve"> jest ≤ 60)</w:t>
            </w:r>
          </w:p>
        </w:tc>
        <w:tc>
          <w:tcPr>
            <w:tcW w:w="2637"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lang w:val="en-US"/>
              </w:rPr>
            </w:pPr>
            <w:r>
              <w:rPr>
                <w:sz w:val="20"/>
                <w:szCs w:val="20"/>
                <w:lang w:val="en-US"/>
              </w:rPr>
              <w:t>Kat. LA</w:t>
            </w:r>
            <w:r>
              <w:rPr>
                <w:sz w:val="20"/>
                <w:szCs w:val="20"/>
                <w:vertAlign w:val="subscript"/>
                <w:lang w:val="en-US"/>
              </w:rPr>
              <w:t>50</w:t>
            </w:r>
            <w:r>
              <w:rPr>
                <w:sz w:val="20"/>
                <w:szCs w:val="20"/>
                <w:lang w:val="en-US"/>
              </w:rPr>
              <w:t xml:space="preserve"> (tj. wsp. </w:t>
            </w:r>
            <w:smartTag w:uri="urn:schemas-microsoft-com:office:smarttags" w:element="place">
              <w:r>
                <w:rPr>
                  <w:sz w:val="20"/>
                  <w:szCs w:val="20"/>
                  <w:lang w:val="en-US"/>
                </w:rPr>
                <w:t>Los Angeles</w:t>
              </w:r>
            </w:smartTag>
            <w:r>
              <w:rPr>
                <w:sz w:val="20"/>
                <w:szCs w:val="20"/>
                <w:lang w:val="en-US"/>
              </w:rPr>
              <w:t xml:space="preserve"> jest ≤ 50)</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Odporność na ścieranie</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 xml:space="preserve">PN-EN  </w:t>
            </w:r>
          </w:p>
          <w:p w:rsidR="00C96A5B" w:rsidRDefault="00C96A5B" w:rsidP="00E558D1">
            <w:pPr>
              <w:pStyle w:val="Bezodstpw"/>
              <w:ind w:firstLine="0"/>
              <w:rPr>
                <w:sz w:val="20"/>
                <w:szCs w:val="20"/>
              </w:rPr>
            </w:pPr>
            <w:r>
              <w:rPr>
                <w:sz w:val="20"/>
                <w:szCs w:val="20"/>
              </w:rPr>
              <w:t xml:space="preserve">1097-1 [12] </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5.3</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M</w:t>
            </w:r>
            <w:r>
              <w:rPr>
                <w:sz w:val="20"/>
                <w:szCs w:val="20"/>
                <w:vertAlign w:val="subscript"/>
              </w:rPr>
              <w:t>DE</w:t>
            </w:r>
            <w:r>
              <w:rPr>
                <w:sz w:val="20"/>
                <w:szCs w:val="20"/>
              </w:rPr>
              <w:t>NR (tj. brak wymagania)</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Gęstość ziaren</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PN-EN 1097-6, roz. 7, 8 i 9  [14]</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5.4</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Deklarowana</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Nasiąkliwość</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PN-EN 1097-</w:t>
            </w:r>
          </w:p>
          <w:p w:rsidR="00C96A5B" w:rsidRDefault="00C96A5B" w:rsidP="00E558D1">
            <w:pPr>
              <w:pStyle w:val="Bezodstpw"/>
              <w:ind w:firstLine="0"/>
              <w:jc w:val="left"/>
              <w:rPr>
                <w:sz w:val="20"/>
                <w:szCs w:val="20"/>
              </w:rPr>
            </w:pPr>
            <w:r>
              <w:rPr>
                <w:sz w:val="20"/>
                <w:szCs w:val="20"/>
              </w:rPr>
              <w:t>6, roz. 7, 8 i 9</w:t>
            </w:r>
          </w:p>
          <w:p w:rsidR="00C96A5B" w:rsidRDefault="00C96A5B" w:rsidP="00E558D1">
            <w:pPr>
              <w:pStyle w:val="Bezodstpw"/>
              <w:ind w:firstLine="0"/>
              <w:jc w:val="left"/>
              <w:rPr>
                <w:sz w:val="20"/>
                <w:szCs w:val="20"/>
              </w:rPr>
            </w:pPr>
            <w:r>
              <w:rPr>
                <w:sz w:val="20"/>
                <w:szCs w:val="20"/>
              </w:rPr>
              <w:t>[14]</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5.5</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Deklarowana</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Siarczany rozpuszczalne w kwasie</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PN-EN</w:t>
            </w:r>
          </w:p>
          <w:p w:rsidR="00C96A5B" w:rsidRDefault="00C96A5B" w:rsidP="00E558D1">
            <w:pPr>
              <w:pStyle w:val="Bezodstpw"/>
              <w:ind w:firstLine="0"/>
              <w:jc w:val="left"/>
              <w:rPr>
                <w:sz w:val="20"/>
                <w:szCs w:val="20"/>
              </w:rPr>
            </w:pPr>
            <w:r>
              <w:rPr>
                <w:sz w:val="20"/>
                <w:szCs w:val="20"/>
              </w:rPr>
              <w:t>1744-1 [17]</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6.2</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Kruszywo kamienne:  kat. AS</w:t>
            </w:r>
            <w:r>
              <w:rPr>
                <w:sz w:val="20"/>
                <w:szCs w:val="20"/>
                <w:vertAlign w:val="subscript"/>
              </w:rPr>
              <w:t xml:space="preserve">0,2   </w:t>
            </w:r>
            <w:r>
              <w:rPr>
                <w:sz w:val="20"/>
                <w:szCs w:val="20"/>
              </w:rPr>
              <w:t xml:space="preserve">(tj. zawartość siarczanów </w:t>
            </w:r>
          </w:p>
          <w:p w:rsidR="00C96A5B" w:rsidRDefault="00C96A5B" w:rsidP="00E558D1">
            <w:pPr>
              <w:pStyle w:val="Bezodstpw"/>
              <w:ind w:firstLine="0"/>
              <w:rPr>
                <w:sz w:val="20"/>
                <w:szCs w:val="20"/>
              </w:rPr>
            </w:pPr>
            <w:r>
              <w:rPr>
                <w:sz w:val="20"/>
                <w:szCs w:val="20"/>
              </w:rPr>
              <w:t>≤ 0,2%), żużel kawałkowy wielkopiecowy: kat. AS</w:t>
            </w:r>
            <w:r>
              <w:rPr>
                <w:sz w:val="20"/>
                <w:szCs w:val="20"/>
                <w:vertAlign w:val="subscript"/>
              </w:rPr>
              <w:t>1,0</w:t>
            </w:r>
            <w:r>
              <w:rPr>
                <w:sz w:val="20"/>
                <w:szCs w:val="20"/>
              </w:rPr>
              <w:t xml:space="preserve"> (tj. zawartość siarczanów ≤ 1,0%)</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Całkowita zawartość siarki</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 xml:space="preserve">PN-EN </w:t>
            </w:r>
          </w:p>
          <w:p w:rsidR="00C96A5B" w:rsidRDefault="00C96A5B" w:rsidP="00E558D1">
            <w:pPr>
              <w:pStyle w:val="Bezodstpw"/>
              <w:ind w:firstLine="0"/>
              <w:jc w:val="left"/>
              <w:rPr>
                <w:sz w:val="20"/>
                <w:szCs w:val="20"/>
              </w:rPr>
            </w:pPr>
            <w:r>
              <w:rPr>
                <w:sz w:val="20"/>
                <w:szCs w:val="20"/>
              </w:rPr>
              <w:t>1744-1 [17]</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6.3</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Kruszywo kamienne: kat. S</w:t>
            </w:r>
            <w:r>
              <w:rPr>
                <w:sz w:val="20"/>
                <w:szCs w:val="20"/>
                <w:vertAlign w:val="subscript"/>
              </w:rPr>
              <w:t>NR</w:t>
            </w:r>
            <w:r>
              <w:rPr>
                <w:sz w:val="20"/>
                <w:szCs w:val="20"/>
              </w:rPr>
              <w:t xml:space="preserve"> (tj. brak wymagania), żużel kawałkowy wielkopiecowy: kat. S</w:t>
            </w:r>
            <w:r>
              <w:rPr>
                <w:sz w:val="20"/>
                <w:szCs w:val="20"/>
                <w:vertAlign w:val="subscript"/>
              </w:rPr>
              <w:t>2</w:t>
            </w:r>
            <w:r>
              <w:rPr>
                <w:sz w:val="20"/>
                <w:szCs w:val="20"/>
              </w:rPr>
              <w:t xml:space="preserve"> (tj. zawartość siarki całkowitej ≤ 2%)</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Składniki wpływające na szybkość wiązania i twardnienia mieszanek  związanych   hydraulicznie</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PN-EN</w:t>
            </w:r>
          </w:p>
          <w:p w:rsidR="00C96A5B" w:rsidRDefault="00C96A5B" w:rsidP="00E558D1">
            <w:pPr>
              <w:pStyle w:val="Bezodstpw"/>
              <w:ind w:firstLine="0"/>
              <w:jc w:val="left"/>
              <w:rPr>
                <w:sz w:val="20"/>
                <w:szCs w:val="20"/>
              </w:rPr>
            </w:pPr>
            <w:r>
              <w:rPr>
                <w:sz w:val="20"/>
                <w:szCs w:val="20"/>
              </w:rPr>
              <w:t>1744-1 [17]</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6.4.1</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Deklarowana</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Stałość objętości żużla stalowniczego</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 xml:space="preserve">PN-EN 1744-1, roz. 19.3 [17]  </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6.4.2.1</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V</w:t>
            </w:r>
            <w:r>
              <w:rPr>
                <w:sz w:val="20"/>
                <w:szCs w:val="20"/>
                <w:vertAlign w:val="subscript"/>
              </w:rPr>
              <w:t>5</w:t>
            </w:r>
            <w:r>
              <w:rPr>
                <w:sz w:val="20"/>
                <w:szCs w:val="20"/>
              </w:rPr>
              <w:t xml:space="preserve"> (tj. pęcznienie ≤ 5 % objętości). Dotyczy żużla z klasycznego pieca tlenowego i elektrycznego pieca łukowego</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lastRenderedPageBreak/>
              <w:t>Rozpad krzemianowy w żużlu wielkopiec. kawałkowym</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 xml:space="preserve">PN-EN 1744-1, p. 19.1 [17]  </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6.4.2.2</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Brak rozpadu</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Rozpad żelazawy w żużlu wielkopiec. kawałkowym</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PN-EN 1744-1, p.19.2 [17]</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6.4.2.3</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Brak rozpadu</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Składniki rozpuszczalne w wodzie</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PN-EN 1744-3 [18]</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6.4.3</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Brak substancji szkodliwych dla środowiska wg odrębnych przepisów</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Zanieczyszczenia</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6.4.4</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Brak ciał obcych takich jak drewno, szkło i plastik, mogących pogorszyć wyrób końcowy</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Zgorzel słoneczna bazaltu</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PN-EN 1367-3[16] i PN-EN 1097-2 [13]</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7.2</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SB</w:t>
            </w:r>
            <w:r>
              <w:rPr>
                <w:sz w:val="20"/>
                <w:szCs w:val="20"/>
                <w:vertAlign w:val="subscript"/>
              </w:rPr>
              <w:t>LA</w:t>
            </w:r>
            <w:r>
              <w:rPr>
                <w:sz w:val="20"/>
                <w:szCs w:val="20"/>
              </w:rPr>
              <w:t xml:space="preserve"> (tj. wzrost współczynnika Los Angeles po gotowaniu ≤ 8%)</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 xml:space="preserve">Nasiąkliwość </w:t>
            </w:r>
          </w:p>
          <w:p w:rsidR="00C96A5B" w:rsidRDefault="00C96A5B" w:rsidP="00E558D1">
            <w:pPr>
              <w:pStyle w:val="Bezodstpw"/>
              <w:ind w:firstLine="0"/>
              <w:jc w:val="left"/>
              <w:rPr>
                <w:sz w:val="20"/>
                <w:szCs w:val="20"/>
              </w:rPr>
            </w:pPr>
            <w:r>
              <w:rPr>
                <w:sz w:val="20"/>
                <w:szCs w:val="20"/>
              </w:rPr>
              <w:t>(Jeśli kruszywo nie spełni warunku W</w:t>
            </w:r>
            <w:r>
              <w:rPr>
                <w:sz w:val="20"/>
                <w:szCs w:val="20"/>
                <w:vertAlign w:val="subscript"/>
              </w:rPr>
              <w:t>24</w:t>
            </w:r>
            <w:r>
              <w:rPr>
                <w:sz w:val="20"/>
                <w:szCs w:val="20"/>
              </w:rPr>
              <w:t>2, to należy zbadać jego mrozoodporność wg p. 7.3.3 – wiersz poniżej)</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 xml:space="preserve">PN-EN 1097-6, roz. 7 [14]  </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7.3.2</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Kat. W</w:t>
            </w:r>
            <w:r>
              <w:rPr>
                <w:sz w:val="20"/>
                <w:szCs w:val="20"/>
                <w:vertAlign w:val="subscript"/>
              </w:rPr>
              <w:t>24</w:t>
            </w:r>
            <w:r>
              <w:rPr>
                <w:sz w:val="20"/>
                <w:szCs w:val="20"/>
              </w:rPr>
              <w:t>2 (tj. maksymalna wartość nasiąkliwości ≤ 2% masy)</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Mrozoodporność na kruszywa frakcji 8/16 mm  (Badanie</w:t>
            </w:r>
            <w:r>
              <w:rPr>
                <w:sz w:val="20"/>
                <w:szCs w:val="20"/>
              </w:rPr>
              <w:br/>
              <w:t>wykonywane tylko w przypadku, gdy nasiąkliwość kruszywa przekracza WA</w:t>
            </w:r>
            <w:r>
              <w:rPr>
                <w:sz w:val="20"/>
                <w:szCs w:val="20"/>
                <w:vertAlign w:val="subscript"/>
              </w:rPr>
              <w:t>24</w:t>
            </w:r>
            <w:r>
              <w:rPr>
                <w:sz w:val="20"/>
                <w:szCs w:val="20"/>
              </w:rPr>
              <w:t>2)</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PN-EN 1367-1 [15]</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7.3.3</w:t>
            </w:r>
          </w:p>
        </w:tc>
        <w:tc>
          <w:tcPr>
            <w:tcW w:w="2424"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Skały magmowe i przeobrażone: kat. F</w:t>
            </w:r>
            <w:r>
              <w:rPr>
                <w:sz w:val="20"/>
                <w:szCs w:val="20"/>
                <w:vertAlign w:val="subscript"/>
              </w:rPr>
              <w:t>4</w:t>
            </w:r>
            <w:r>
              <w:rPr>
                <w:sz w:val="20"/>
                <w:szCs w:val="20"/>
              </w:rPr>
              <w:t xml:space="preserve"> (tj. zamrażanie-rozmrażanie ≤ 4% masy), skały osadowe: kat. F</w:t>
            </w:r>
            <w:r>
              <w:rPr>
                <w:sz w:val="20"/>
                <w:szCs w:val="20"/>
                <w:vertAlign w:val="subscript"/>
              </w:rPr>
              <w:t>10</w:t>
            </w:r>
            <w:r>
              <w:rPr>
                <w:sz w:val="20"/>
                <w:szCs w:val="20"/>
              </w:rPr>
              <w:t>, kruszywa z recyklingu: kat. F</w:t>
            </w:r>
            <w:r>
              <w:rPr>
                <w:sz w:val="20"/>
                <w:szCs w:val="20"/>
                <w:vertAlign w:val="subscript"/>
              </w:rPr>
              <w:t>10</w:t>
            </w:r>
            <w:r>
              <w:rPr>
                <w:sz w:val="20"/>
                <w:szCs w:val="20"/>
              </w:rPr>
              <w:t xml:space="preserve"> (F</w:t>
            </w:r>
            <w:r>
              <w:rPr>
                <w:sz w:val="20"/>
                <w:szCs w:val="20"/>
                <w:vertAlign w:val="subscript"/>
              </w:rPr>
              <w:t>25</w:t>
            </w:r>
            <w:r>
              <w:rPr>
                <w:sz w:val="20"/>
                <w:szCs w:val="20"/>
              </w:rPr>
              <w:t>***)</w:t>
            </w:r>
          </w:p>
        </w:tc>
        <w:tc>
          <w:tcPr>
            <w:tcW w:w="2425"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Kat. F</w:t>
            </w:r>
            <w:r>
              <w:rPr>
                <w:sz w:val="20"/>
                <w:szCs w:val="20"/>
                <w:vertAlign w:val="subscript"/>
              </w:rPr>
              <w:t>4</w:t>
            </w:r>
            <w:r>
              <w:rPr>
                <w:sz w:val="20"/>
                <w:szCs w:val="20"/>
              </w:rPr>
              <w:t xml:space="preserve"> (tj. zamrażanie-rozmrażanie ≤ 4%)</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Skład mineralogiczny</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Zał. C</w:t>
            </w:r>
          </w:p>
          <w:p w:rsidR="00C96A5B" w:rsidRDefault="00C96A5B" w:rsidP="00E558D1">
            <w:pPr>
              <w:pStyle w:val="Bezodstpw"/>
              <w:ind w:firstLine="0"/>
              <w:rPr>
                <w:sz w:val="20"/>
                <w:szCs w:val="20"/>
              </w:rPr>
            </w:pPr>
            <w:r>
              <w:rPr>
                <w:sz w:val="20"/>
                <w:szCs w:val="20"/>
              </w:rPr>
              <w:t>p.C3.4</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Deklarowany</w:t>
            </w:r>
          </w:p>
        </w:tc>
      </w:tr>
      <w:tr w:rsidR="00C96A5B" w:rsidTr="00E558D1">
        <w:tc>
          <w:tcPr>
            <w:tcW w:w="23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Istotne cechy środowiskowe</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center"/>
              <w:rPr>
                <w:sz w:val="20"/>
                <w:szCs w:val="20"/>
              </w:rPr>
            </w:pPr>
            <w:r>
              <w:rPr>
                <w:sz w:val="20"/>
                <w:szCs w:val="20"/>
              </w:rPr>
              <w:t>-</w:t>
            </w:r>
          </w:p>
        </w:tc>
        <w:tc>
          <w:tcPr>
            <w:tcW w:w="711"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Zał. C</w:t>
            </w:r>
          </w:p>
          <w:p w:rsidR="00C96A5B" w:rsidRDefault="00C96A5B" w:rsidP="00E558D1">
            <w:pPr>
              <w:pStyle w:val="Bezodstpw"/>
              <w:ind w:firstLine="0"/>
              <w:rPr>
                <w:sz w:val="20"/>
                <w:szCs w:val="20"/>
              </w:rPr>
            </w:pPr>
            <w:r>
              <w:rPr>
                <w:sz w:val="20"/>
                <w:szCs w:val="20"/>
              </w:rPr>
              <w:t>pkt</w:t>
            </w:r>
          </w:p>
          <w:p w:rsidR="00C96A5B" w:rsidRDefault="00C96A5B" w:rsidP="00E558D1">
            <w:pPr>
              <w:pStyle w:val="Bezodstpw"/>
              <w:ind w:firstLine="0"/>
              <w:rPr>
                <w:sz w:val="20"/>
                <w:szCs w:val="20"/>
              </w:rPr>
            </w:pPr>
            <w:r>
              <w:rPr>
                <w:sz w:val="20"/>
                <w:szCs w:val="20"/>
              </w:rPr>
              <w:t>C.3.4</w:t>
            </w:r>
          </w:p>
        </w:tc>
        <w:tc>
          <w:tcPr>
            <w:tcW w:w="4849"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jc w:val="left"/>
              <w:rPr>
                <w:sz w:val="20"/>
                <w:szCs w:val="20"/>
              </w:rPr>
            </w:pPr>
            <w:r>
              <w:rPr>
                <w:sz w:val="20"/>
                <w:szCs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r w:rsidR="00C96A5B" w:rsidTr="00E558D1">
        <w:tc>
          <w:tcPr>
            <w:tcW w:w="9212" w:type="dxa"/>
            <w:gridSpan w:val="7"/>
            <w:tcBorders>
              <w:top w:val="single" w:sz="4" w:space="0" w:color="auto"/>
              <w:left w:val="single" w:sz="4" w:space="0" w:color="auto"/>
              <w:bottom w:val="single" w:sz="4" w:space="0" w:color="auto"/>
              <w:right w:val="single" w:sz="4" w:space="0" w:color="auto"/>
            </w:tcBorders>
            <w:noWrap/>
            <w:hideMark/>
          </w:tcPr>
          <w:p w:rsidR="00C96A5B" w:rsidRDefault="00C96A5B" w:rsidP="00E558D1">
            <w:pPr>
              <w:pStyle w:val="Bezodstpw"/>
              <w:ind w:firstLine="0"/>
              <w:rPr>
                <w:sz w:val="20"/>
                <w:szCs w:val="20"/>
              </w:rPr>
            </w:pPr>
            <w:r>
              <w:rPr>
                <w:sz w:val="20"/>
                <w:szCs w:val="20"/>
              </w:rPr>
              <w:t>*)      Badaniem wzorcowym oznaczania kształtu kruszywa grubego jest badanie wskaźnika płaskości</w:t>
            </w:r>
          </w:p>
          <w:p w:rsidR="00C96A5B" w:rsidRDefault="00C96A5B" w:rsidP="00E558D1">
            <w:pPr>
              <w:pStyle w:val="Bezodstpw"/>
              <w:ind w:firstLine="0"/>
              <w:rPr>
                <w:sz w:val="20"/>
                <w:szCs w:val="20"/>
              </w:rPr>
            </w:pPr>
            <w:r>
              <w:rPr>
                <w:sz w:val="20"/>
                <w:szCs w:val="20"/>
              </w:rPr>
              <w:t xml:space="preserve">**)    Łączna zawartość pyłów w mieszance powinna się mieścić w wybranych krzywych granicznych </w:t>
            </w:r>
          </w:p>
          <w:p w:rsidR="00C96A5B" w:rsidRDefault="00C96A5B" w:rsidP="00E558D1">
            <w:pPr>
              <w:pStyle w:val="Bezodstpw"/>
              <w:ind w:firstLine="0"/>
              <w:rPr>
                <w:sz w:val="20"/>
                <w:szCs w:val="20"/>
              </w:rPr>
            </w:pPr>
            <w:r>
              <w:rPr>
                <w:sz w:val="20"/>
                <w:szCs w:val="20"/>
              </w:rPr>
              <w:t>***)  Pod warunkiem, gdy zawartość w mieszance nie przekracza 50% m/m</w:t>
            </w:r>
          </w:p>
        </w:tc>
      </w:tr>
    </w:tbl>
    <w:p w:rsidR="00C96A5B" w:rsidRDefault="00C96A5B" w:rsidP="00C96A5B">
      <w:pPr>
        <w:pStyle w:val="Bezodstpw"/>
        <w:ind w:firstLine="0"/>
        <w:rPr>
          <w:b/>
          <w:sz w:val="20"/>
          <w:szCs w:val="20"/>
        </w:rPr>
      </w:pPr>
    </w:p>
    <w:p w:rsidR="00C96A5B" w:rsidRDefault="00C96A5B" w:rsidP="00C96A5B">
      <w:pPr>
        <w:spacing w:after="120"/>
      </w:pPr>
      <w:r>
        <w:rPr>
          <w:b/>
        </w:rPr>
        <w:t xml:space="preserve">2.2.4. </w:t>
      </w:r>
      <w:r>
        <w:t>Cement</w:t>
      </w:r>
    </w:p>
    <w:p w:rsidR="00C96A5B" w:rsidRDefault="00C96A5B" w:rsidP="00C96A5B">
      <w:r>
        <w:tab/>
        <w:t>Należy stosować cement wg PN-EN 197-1 [5], np. CEM I, klasy 32,5 N, 42,5 N, 52,5 N.</w:t>
      </w:r>
    </w:p>
    <w:p w:rsidR="00C96A5B" w:rsidRDefault="00C96A5B" w:rsidP="00C96A5B">
      <w:r>
        <w:tab/>
        <w:t>Przechowywanie cementu dostarczonego:</w:t>
      </w:r>
    </w:p>
    <w:p w:rsidR="00C96A5B" w:rsidRDefault="00C96A5B" w:rsidP="00B4292E">
      <w:pPr>
        <w:numPr>
          <w:ilvl w:val="0"/>
          <w:numId w:val="59"/>
        </w:numPr>
        <w:overflowPunct w:val="0"/>
        <w:autoSpaceDE w:val="0"/>
        <w:autoSpaceDN w:val="0"/>
        <w:adjustRightInd w:val="0"/>
        <w:spacing w:after="0" w:line="240" w:lineRule="auto"/>
        <w:jc w:val="both"/>
      </w:pPr>
      <w:r>
        <w:t xml:space="preserve">w workach, co najmniej trzywarstwowych, o masie np. </w:t>
      </w:r>
      <w:smartTag w:uri="urn:schemas-microsoft-com:office:smarttags" w:element="metricconverter">
        <w:smartTagPr>
          <w:attr w:name="productid" w:val="50 kg"/>
        </w:smartTagPr>
        <w:r>
          <w:t>50 kg</w:t>
        </w:r>
      </w:smartTag>
      <w:r>
        <w:t xml:space="preserve"> – do 10 dni w miejscach zadaszonych na otwartym terenie o podłożu twardym i suchym oraz do terminu trwałości podanego przez producenta w pomieszczeniach o szczelnym dachu i ścianach oraz podłogach suchych i czystych. Cement na paletach magazynuje się z dopuszczalną wysokością 3 palet, cement niespaletowany układa się w stosy płaskie o liczbie 12 warstw (dla worków trzywarstwowych),</w:t>
      </w:r>
    </w:p>
    <w:p w:rsidR="00C96A5B" w:rsidRDefault="00C96A5B" w:rsidP="00B4292E">
      <w:pPr>
        <w:numPr>
          <w:ilvl w:val="0"/>
          <w:numId w:val="59"/>
        </w:numPr>
        <w:overflowPunct w:val="0"/>
        <w:autoSpaceDE w:val="0"/>
        <w:autoSpaceDN w:val="0"/>
        <w:adjustRightInd w:val="0"/>
        <w:spacing w:after="0" w:line="240" w:lineRule="auto"/>
        <w:jc w:val="both"/>
      </w:pPr>
      <w:r>
        <w:t>luzem – przechowuje się w magazynach specjalnych (zbiornikach stalowych, betonowych) przystosowanych do pneumatycznego załadowania i wyładowania.</w:t>
      </w:r>
    </w:p>
    <w:p w:rsidR="00C96A5B" w:rsidRDefault="00C96A5B" w:rsidP="00C96A5B">
      <w:pPr>
        <w:spacing w:before="120" w:after="120"/>
      </w:pPr>
      <w:r>
        <w:rPr>
          <w:b/>
        </w:rPr>
        <w:t xml:space="preserve">2.2.5. </w:t>
      </w:r>
      <w:r>
        <w:t>Woda zarobowa</w:t>
      </w:r>
    </w:p>
    <w:p w:rsidR="00C96A5B" w:rsidRDefault="00C96A5B" w:rsidP="00C96A5B">
      <w:r>
        <w:tab/>
        <w:t>Woda zarobowa powinna być zgodna z PN-EN 1008 [11].</w:t>
      </w:r>
    </w:p>
    <w:p w:rsidR="00C96A5B" w:rsidRDefault="00C96A5B" w:rsidP="00C96A5B">
      <w:pPr>
        <w:spacing w:before="120" w:after="120"/>
      </w:pPr>
      <w:r>
        <w:rPr>
          <w:b/>
        </w:rPr>
        <w:lastRenderedPageBreak/>
        <w:t xml:space="preserve">2.2.6. </w:t>
      </w:r>
      <w:r>
        <w:t>Dodatki</w:t>
      </w:r>
    </w:p>
    <w:p w:rsidR="00C96A5B" w:rsidRDefault="00C96A5B" w:rsidP="00C96A5B">
      <w:r>
        <w:tab/>
        <w:t>W przypadkach uzasadnionych mieszanka może zawierać dodatki, które powinny być uwzględnione w projekcie mieszanki.</w:t>
      </w:r>
    </w:p>
    <w:p w:rsidR="00C96A5B" w:rsidRDefault="00C96A5B" w:rsidP="00C96A5B">
      <w:r>
        <w:tab/>
        <w:t>Dodatki powinny być o sprawdzonym działaniu jak np. mielony granulowany żużel wielkopiecowy lub popiół lotny pod warunkiem, że odpowiada ona wymaganiom europejskiej lub krajowej aprobaty technicznej.</w:t>
      </w:r>
    </w:p>
    <w:p w:rsidR="00C96A5B" w:rsidRDefault="00C96A5B" w:rsidP="00B4292E">
      <w:pPr>
        <w:numPr>
          <w:ilvl w:val="2"/>
          <w:numId w:val="60"/>
        </w:numPr>
        <w:overflowPunct w:val="0"/>
        <w:autoSpaceDE w:val="0"/>
        <w:autoSpaceDN w:val="0"/>
        <w:adjustRightInd w:val="0"/>
        <w:spacing w:before="120" w:after="120" w:line="240" w:lineRule="auto"/>
        <w:jc w:val="both"/>
      </w:pPr>
      <w:r>
        <w:t>Domieszki</w:t>
      </w:r>
    </w:p>
    <w:p w:rsidR="00C96A5B" w:rsidRDefault="00C96A5B" w:rsidP="00C96A5B">
      <w:pPr>
        <w:ind w:firstLine="709"/>
      </w:pPr>
      <w:r>
        <w:t>Domieszki powinny być zgodne z PN-EN 934-2 [10].</w:t>
      </w:r>
    </w:p>
    <w:p w:rsidR="00C96A5B" w:rsidRDefault="00C96A5B" w:rsidP="00C96A5B">
      <w:pPr>
        <w:ind w:firstLine="709"/>
      </w:pPr>
      <w:r>
        <w:t>Jeżeli w mieszance przewiduje się zastosowanie środków przyspieszających lub opóźniających wiązanie, należy to uwzględnić przy projektowaniu składu mieszanki.</w:t>
      </w:r>
    </w:p>
    <w:p w:rsidR="00C96A5B" w:rsidRDefault="00C96A5B" w:rsidP="00C96A5B">
      <w:pPr>
        <w:pStyle w:val="Nagwek1"/>
        <w:numPr>
          <w:ilvl w:val="12"/>
          <w:numId w:val="0"/>
        </w:numPr>
      </w:pPr>
      <w:bookmarkStart w:id="561" w:name="_Toc113935589"/>
      <w:bookmarkStart w:id="562" w:name="_Toc332010313"/>
      <w:r>
        <w:t>3. sprzęt</w:t>
      </w:r>
      <w:bookmarkEnd w:id="561"/>
      <w:bookmarkEnd w:id="562"/>
    </w:p>
    <w:p w:rsidR="00C96A5B" w:rsidRDefault="00C96A5B" w:rsidP="00C96A5B">
      <w:pPr>
        <w:pStyle w:val="Nagwek2"/>
        <w:numPr>
          <w:ilvl w:val="12"/>
          <w:numId w:val="0"/>
        </w:numPr>
      </w:pPr>
      <w:r>
        <w:t>3.1. Ogólne wymagania dotyczące sprzętu</w:t>
      </w:r>
    </w:p>
    <w:p w:rsidR="00C96A5B" w:rsidRDefault="00C96A5B" w:rsidP="00C96A5B">
      <w:pPr>
        <w:numPr>
          <w:ilvl w:val="12"/>
          <w:numId w:val="0"/>
        </w:numPr>
      </w:pPr>
      <w:r>
        <w:tab/>
        <w:t>Ogólne wymagania dotyczące sprzętu podano w OST  D-M-00.00.00 „Wymagania ogólne” [1] pkt 3.</w:t>
      </w:r>
    </w:p>
    <w:p w:rsidR="00C96A5B" w:rsidRDefault="00C96A5B" w:rsidP="00C96A5B">
      <w:pPr>
        <w:pStyle w:val="Nagwek2"/>
      </w:pPr>
      <w:r>
        <w:t>3.2. Sprzęt stosowany do wykonania robót</w:t>
      </w:r>
    </w:p>
    <w:p w:rsidR="00C96A5B" w:rsidRDefault="00C96A5B" w:rsidP="00C96A5B">
      <w:r>
        <w:tab/>
        <w:t>Przy wykonywaniu robót Wykonawca w zależności od potrzeb, powinien wykazać się możliwością korzystania ze sprzętu dostosowanego do przyjętej metody robót, jak:</w:t>
      </w:r>
    </w:p>
    <w:p w:rsidR="00C96A5B" w:rsidRDefault="00C96A5B" w:rsidP="00C96A5B">
      <w:pPr>
        <w:numPr>
          <w:ilvl w:val="0"/>
          <w:numId w:val="5"/>
        </w:numPr>
        <w:overflowPunct w:val="0"/>
        <w:autoSpaceDE w:val="0"/>
        <w:autoSpaceDN w:val="0"/>
        <w:adjustRightInd w:val="0"/>
        <w:spacing w:after="0" w:line="240" w:lineRule="auto"/>
        <w:jc w:val="both"/>
      </w:pPr>
      <w:r>
        <w:t>wytwórnia stacjonarna lub mobilna do wytwarzania mieszanki,</w:t>
      </w:r>
    </w:p>
    <w:p w:rsidR="00C96A5B" w:rsidRDefault="00C96A5B" w:rsidP="00C96A5B">
      <w:pPr>
        <w:numPr>
          <w:ilvl w:val="0"/>
          <w:numId w:val="5"/>
        </w:numPr>
        <w:overflowPunct w:val="0"/>
        <w:autoSpaceDE w:val="0"/>
        <w:autoSpaceDN w:val="0"/>
        <w:adjustRightInd w:val="0"/>
        <w:spacing w:after="0" w:line="240" w:lineRule="auto"/>
        <w:jc w:val="both"/>
      </w:pPr>
      <w:r>
        <w:t>przewoźne zbiorniki na wodę,</w:t>
      </w:r>
    </w:p>
    <w:p w:rsidR="00C96A5B" w:rsidRDefault="00C96A5B" w:rsidP="00C96A5B">
      <w:pPr>
        <w:numPr>
          <w:ilvl w:val="0"/>
          <w:numId w:val="5"/>
        </w:numPr>
        <w:overflowPunct w:val="0"/>
        <w:autoSpaceDE w:val="0"/>
        <w:autoSpaceDN w:val="0"/>
        <w:adjustRightInd w:val="0"/>
        <w:spacing w:after="0" w:line="240" w:lineRule="auto"/>
        <w:jc w:val="both"/>
      </w:pPr>
      <w:r>
        <w:t>układarki do rozkładania mieszanki lub równiarki,</w:t>
      </w:r>
    </w:p>
    <w:p w:rsidR="00C96A5B" w:rsidRDefault="00C96A5B" w:rsidP="00C96A5B">
      <w:pPr>
        <w:numPr>
          <w:ilvl w:val="0"/>
          <w:numId w:val="5"/>
        </w:numPr>
        <w:overflowPunct w:val="0"/>
        <w:autoSpaceDE w:val="0"/>
        <w:autoSpaceDN w:val="0"/>
        <w:adjustRightInd w:val="0"/>
        <w:spacing w:after="0" w:line="240" w:lineRule="auto"/>
        <w:jc w:val="both"/>
      </w:pPr>
      <w:r>
        <w:t>walce wibracyjne, statyczne lub ogumione,</w:t>
      </w:r>
    </w:p>
    <w:p w:rsidR="00C96A5B" w:rsidRDefault="00C96A5B" w:rsidP="00C96A5B">
      <w:pPr>
        <w:numPr>
          <w:ilvl w:val="0"/>
          <w:numId w:val="5"/>
        </w:numPr>
        <w:overflowPunct w:val="0"/>
        <w:autoSpaceDE w:val="0"/>
        <w:autoSpaceDN w:val="0"/>
        <w:adjustRightInd w:val="0"/>
        <w:spacing w:after="0" w:line="240" w:lineRule="auto"/>
        <w:jc w:val="both"/>
      </w:pPr>
      <w:r>
        <w:t>zagęszczarki płytowe, ubijaki mechaniczne lub małe walce wibracyjne do zagęszczania w miejscach trudno dostępnych.</w:t>
      </w:r>
    </w:p>
    <w:p w:rsidR="00C96A5B" w:rsidRDefault="00C96A5B" w:rsidP="00C96A5B">
      <w:pPr>
        <w:ind w:firstLine="709"/>
      </w:pPr>
      <w:r>
        <w:t>Sprzęt powinien odpowiadać wymaganiom określonym w dokumentacji projektowej, ST, instrukcjach producentów lub propozycji Wykonawcy i powinien być zaakceptowany przez Inżyniera.</w:t>
      </w:r>
    </w:p>
    <w:p w:rsidR="00C96A5B" w:rsidRDefault="00C96A5B" w:rsidP="00C96A5B">
      <w:pPr>
        <w:pStyle w:val="Nagwek1"/>
      </w:pPr>
      <w:bookmarkStart w:id="563" w:name="_Toc424534468"/>
      <w:bookmarkStart w:id="564" w:name="_Toc46643999"/>
      <w:bookmarkStart w:id="565" w:name="_Toc51995832"/>
      <w:bookmarkStart w:id="566" w:name="_Toc63568300"/>
      <w:bookmarkStart w:id="567" w:name="_Toc73770658"/>
      <w:bookmarkStart w:id="568" w:name="_Toc113935590"/>
      <w:bookmarkStart w:id="569" w:name="_Toc332010314"/>
      <w:r>
        <w:t>4. TRANSPORT</w:t>
      </w:r>
      <w:bookmarkEnd w:id="563"/>
      <w:bookmarkEnd w:id="564"/>
      <w:bookmarkEnd w:id="565"/>
      <w:bookmarkEnd w:id="566"/>
      <w:bookmarkEnd w:id="567"/>
      <w:bookmarkEnd w:id="568"/>
      <w:bookmarkEnd w:id="569"/>
    </w:p>
    <w:p w:rsidR="00C96A5B" w:rsidRDefault="00C96A5B" w:rsidP="00C96A5B">
      <w:pPr>
        <w:pStyle w:val="Nagwek2"/>
      </w:pPr>
      <w:r>
        <w:t xml:space="preserve">4.1. Ogólne wymagania dotyczące transportu </w:t>
      </w:r>
    </w:p>
    <w:p w:rsidR="00C96A5B" w:rsidRDefault="00C96A5B" w:rsidP="00C96A5B">
      <w:pPr>
        <w:tabs>
          <w:tab w:val="left" w:pos="284"/>
          <w:tab w:val="right" w:leader="dot" w:pos="8505"/>
        </w:tabs>
      </w:pPr>
      <w:r>
        <w:tab/>
        <w:t xml:space="preserve">     Ogólne wymagania dotyczące transportu podano w OST D-M-00.00.00 „Wymagania ogólne” [1]  pkt 4.</w:t>
      </w:r>
    </w:p>
    <w:p w:rsidR="00C96A5B" w:rsidRDefault="00C96A5B" w:rsidP="00C96A5B">
      <w:pPr>
        <w:pStyle w:val="Nagwek2"/>
      </w:pPr>
      <w:r>
        <w:t>4.2. Transport materiałów</w:t>
      </w:r>
    </w:p>
    <w:p w:rsidR="00C96A5B" w:rsidRDefault="00C96A5B" w:rsidP="00C96A5B">
      <w:r>
        <w:tab/>
        <w:t>Materiały sypkie można przewozić dowolnymi środkami transportu, w warunkach zabezpieczających je przed  zanieczyszczeniem, zmieszaniem z innymi materiałami i nadmiernym zawilgoceniem.</w:t>
      </w:r>
    </w:p>
    <w:p w:rsidR="00C96A5B" w:rsidRDefault="00C96A5B" w:rsidP="00C96A5B">
      <w:r>
        <w:tab/>
        <w:t>Cement w workach może być przewożony samochodami krytymi, wagonami towarowymi i innymi środkami transportu, w sposób nie powodujący uszkodzeń opakowania. Worki na paletach układa się po 5 warstw po 4 szt. w warstwie. Worki niespaletowane układa się na płask w wysokości do 10 warstw. Cement luzem przewozi się w zbiornikach (wagonach, samochodach), czystych i nie zanieczyszczanych podczas transportu. Środki transportu powinny być wyposażone we wsypy i urządzenia do wyładowania cementu.</w:t>
      </w:r>
    </w:p>
    <w:p w:rsidR="00C96A5B" w:rsidRDefault="00C96A5B" w:rsidP="00C96A5B">
      <w:r>
        <w:tab/>
        <w:t>Woda może być dostarczana wodociągiem lub przewoźnymi zbiornikami wody.</w:t>
      </w:r>
    </w:p>
    <w:p w:rsidR="00C96A5B" w:rsidRDefault="00C96A5B" w:rsidP="00C96A5B">
      <w:r>
        <w:lastRenderedPageBreak/>
        <w:tab/>
        <w:t>Inne materiały należy przewozić w sposób zalecony przez producentów i dostawców, nie powodując pogorszenia ich walorów użytkowych.</w:t>
      </w:r>
    </w:p>
    <w:p w:rsidR="00C96A5B" w:rsidRDefault="00C96A5B" w:rsidP="00C96A5B">
      <w:pPr>
        <w:pStyle w:val="Nagwek1"/>
      </w:pPr>
      <w:bookmarkStart w:id="570" w:name="_Toc51995833"/>
      <w:bookmarkStart w:id="571" w:name="_Toc63568301"/>
      <w:bookmarkStart w:id="572" w:name="_Toc73770659"/>
      <w:bookmarkStart w:id="573" w:name="_Toc113935591"/>
      <w:bookmarkStart w:id="574" w:name="_Toc116360496"/>
      <w:bookmarkStart w:id="575" w:name="_Toc174333137"/>
      <w:bookmarkStart w:id="576" w:name="_Toc208892385"/>
      <w:bookmarkStart w:id="577" w:name="_Toc210107781"/>
      <w:bookmarkStart w:id="578" w:name="_Toc211316616"/>
      <w:bookmarkStart w:id="579" w:name="_Toc236626159"/>
      <w:bookmarkStart w:id="580" w:name="_Toc332010315"/>
      <w:r>
        <w:t>5. WYKONANIE ROBÓT</w:t>
      </w:r>
      <w:bookmarkEnd w:id="570"/>
      <w:bookmarkEnd w:id="571"/>
      <w:bookmarkEnd w:id="572"/>
      <w:bookmarkEnd w:id="573"/>
      <w:bookmarkEnd w:id="574"/>
      <w:bookmarkEnd w:id="575"/>
      <w:bookmarkEnd w:id="576"/>
      <w:bookmarkEnd w:id="577"/>
      <w:bookmarkEnd w:id="578"/>
      <w:bookmarkEnd w:id="579"/>
      <w:bookmarkEnd w:id="580"/>
    </w:p>
    <w:p w:rsidR="00C96A5B" w:rsidRDefault="00C96A5B" w:rsidP="00C96A5B">
      <w:pPr>
        <w:pStyle w:val="Nagwek2"/>
      </w:pPr>
      <w:r>
        <w:t>5.1. Ogólne zasady wykonania robót</w:t>
      </w:r>
    </w:p>
    <w:p w:rsidR="00C96A5B" w:rsidRDefault="00C96A5B" w:rsidP="00C96A5B">
      <w:pPr>
        <w:tabs>
          <w:tab w:val="left" w:pos="0"/>
          <w:tab w:val="left" w:pos="567"/>
          <w:tab w:val="left" w:pos="851"/>
          <w:tab w:val="right" w:leader="dot" w:pos="8505"/>
        </w:tabs>
      </w:pPr>
      <w:r>
        <w:tab/>
        <w:t xml:space="preserve">     Ogólne zasady wykonania robót podano w OST D-M-00.00.00 „Wymagania ogólne” [1] pkt 5.</w:t>
      </w:r>
    </w:p>
    <w:p w:rsidR="00C96A5B" w:rsidRDefault="00C96A5B" w:rsidP="00C96A5B">
      <w:pPr>
        <w:pStyle w:val="Nagwek2"/>
      </w:pPr>
      <w:r>
        <w:t>5.2. Zasady wykonywania robót</w:t>
      </w:r>
    </w:p>
    <w:p w:rsidR="00C96A5B" w:rsidRDefault="00C96A5B" w:rsidP="00C96A5B">
      <w:pPr>
        <w:ind w:firstLine="709"/>
      </w:pPr>
      <w:r>
        <w:t>Sposób wykonania robót powinien być zgodny z dokumentacją projektową i ST. W przypadku braku wystarczających danych można korzystać z ustaleń podanych w niniejszej specyfikacji oraz z informacji podanych w załączniku.</w:t>
      </w:r>
    </w:p>
    <w:p w:rsidR="00C96A5B" w:rsidRDefault="00C96A5B" w:rsidP="00C96A5B">
      <w:r>
        <w:tab/>
        <w:t>Podstawowe czynności przy wykonaniu robót obejmują:</w:t>
      </w:r>
    </w:p>
    <w:p w:rsidR="00C96A5B" w:rsidRDefault="00C96A5B" w:rsidP="00B4292E">
      <w:pPr>
        <w:numPr>
          <w:ilvl w:val="0"/>
          <w:numId w:val="61"/>
        </w:numPr>
        <w:overflowPunct w:val="0"/>
        <w:autoSpaceDE w:val="0"/>
        <w:autoSpaceDN w:val="0"/>
        <w:adjustRightInd w:val="0"/>
        <w:spacing w:after="0" w:line="240" w:lineRule="auto"/>
        <w:jc w:val="both"/>
      </w:pPr>
      <w:r>
        <w:t xml:space="preserve">roboty przygotowawcze, </w:t>
      </w:r>
    </w:p>
    <w:p w:rsidR="00C96A5B" w:rsidRDefault="00C96A5B" w:rsidP="00B4292E">
      <w:pPr>
        <w:numPr>
          <w:ilvl w:val="0"/>
          <w:numId w:val="61"/>
        </w:numPr>
        <w:overflowPunct w:val="0"/>
        <w:autoSpaceDE w:val="0"/>
        <w:autoSpaceDN w:val="0"/>
        <w:adjustRightInd w:val="0"/>
        <w:spacing w:after="0" w:line="240" w:lineRule="auto"/>
        <w:jc w:val="both"/>
      </w:pPr>
      <w:r>
        <w:t>projektowanie mieszanki,</w:t>
      </w:r>
    </w:p>
    <w:p w:rsidR="00C96A5B" w:rsidRDefault="00C96A5B" w:rsidP="00B4292E">
      <w:pPr>
        <w:numPr>
          <w:ilvl w:val="0"/>
          <w:numId w:val="61"/>
        </w:numPr>
        <w:overflowPunct w:val="0"/>
        <w:autoSpaceDE w:val="0"/>
        <w:autoSpaceDN w:val="0"/>
        <w:adjustRightInd w:val="0"/>
        <w:spacing w:after="0" w:line="240" w:lineRule="auto"/>
        <w:jc w:val="both"/>
      </w:pPr>
      <w:r>
        <w:t>odcinek próbny,</w:t>
      </w:r>
    </w:p>
    <w:p w:rsidR="00C96A5B" w:rsidRDefault="00C96A5B" w:rsidP="00B4292E">
      <w:pPr>
        <w:numPr>
          <w:ilvl w:val="0"/>
          <w:numId w:val="61"/>
        </w:numPr>
        <w:overflowPunct w:val="0"/>
        <w:autoSpaceDE w:val="0"/>
        <w:autoSpaceDN w:val="0"/>
        <w:adjustRightInd w:val="0"/>
        <w:spacing w:after="0" w:line="240" w:lineRule="auto"/>
        <w:jc w:val="both"/>
      </w:pPr>
      <w:r>
        <w:t>wbudowanie mieszanki,</w:t>
      </w:r>
    </w:p>
    <w:p w:rsidR="00C96A5B" w:rsidRDefault="00C96A5B" w:rsidP="00B4292E">
      <w:pPr>
        <w:numPr>
          <w:ilvl w:val="0"/>
          <w:numId w:val="61"/>
        </w:numPr>
        <w:overflowPunct w:val="0"/>
        <w:autoSpaceDE w:val="0"/>
        <w:autoSpaceDN w:val="0"/>
        <w:adjustRightInd w:val="0"/>
        <w:spacing w:after="0" w:line="240" w:lineRule="auto"/>
        <w:jc w:val="both"/>
      </w:pPr>
      <w:r>
        <w:t>roboty wykończeniowe.</w:t>
      </w:r>
    </w:p>
    <w:p w:rsidR="00C96A5B" w:rsidRDefault="00C96A5B" w:rsidP="00C96A5B">
      <w:pPr>
        <w:pStyle w:val="Nagwek2"/>
      </w:pPr>
      <w:r>
        <w:t>5.3. Roboty przygotowawcze</w:t>
      </w:r>
    </w:p>
    <w:p w:rsidR="00C96A5B" w:rsidRDefault="00C96A5B" w:rsidP="00C96A5B">
      <w:r>
        <w:tab/>
        <w:t>Przed przystąpieniem do robót należy, na podstawie dokumentacji projektowej,  ST lub wskazań Inżyniera:</w:t>
      </w:r>
    </w:p>
    <w:p w:rsidR="00C96A5B" w:rsidRDefault="00C96A5B" w:rsidP="00B4292E">
      <w:pPr>
        <w:numPr>
          <w:ilvl w:val="0"/>
          <w:numId w:val="62"/>
        </w:numPr>
        <w:overflowPunct w:val="0"/>
        <w:autoSpaceDE w:val="0"/>
        <w:autoSpaceDN w:val="0"/>
        <w:adjustRightInd w:val="0"/>
        <w:spacing w:after="0" w:line="240" w:lineRule="auto"/>
        <w:jc w:val="both"/>
      </w:pPr>
      <w:r>
        <w:t>ustalić lokalizację robót,</w:t>
      </w:r>
    </w:p>
    <w:p w:rsidR="00C96A5B" w:rsidRDefault="00C96A5B" w:rsidP="00B4292E">
      <w:pPr>
        <w:numPr>
          <w:ilvl w:val="0"/>
          <w:numId w:val="62"/>
        </w:numPr>
        <w:overflowPunct w:val="0"/>
        <w:autoSpaceDE w:val="0"/>
        <w:autoSpaceDN w:val="0"/>
        <w:adjustRightInd w:val="0"/>
        <w:spacing w:after="0" w:line="240" w:lineRule="auto"/>
        <w:jc w:val="both"/>
      </w:pPr>
      <w:r>
        <w:t>przeprowadzić obliczenia i pomiary niezbędne do szczegółowego wytyczenia robót oraz ustalenia danych wysokościowych,</w:t>
      </w:r>
    </w:p>
    <w:p w:rsidR="00C96A5B" w:rsidRDefault="00C96A5B" w:rsidP="00B4292E">
      <w:pPr>
        <w:numPr>
          <w:ilvl w:val="0"/>
          <w:numId w:val="62"/>
        </w:numPr>
        <w:overflowPunct w:val="0"/>
        <w:autoSpaceDE w:val="0"/>
        <w:autoSpaceDN w:val="0"/>
        <w:adjustRightInd w:val="0"/>
        <w:spacing w:after="0" w:line="240" w:lineRule="auto"/>
        <w:jc w:val="both"/>
      </w:pPr>
      <w:r>
        <w:t>usunąć przeszkody utrudniające wykonanie robót,</w:t>
      </w:r>
    </w:p>
    <w:p w:rsidR="00C96A5B" w:rsidRDefault="00C96A5B" w:rsidP="00B4292E">
      <w:pPr>
        <w:numPr>
          <w:ilvl w:val="0"/>
          <w:numId w:val="62"/>
        </w:numPr>
        <w:overflowPunct w:val="0"/>
        <w:autoSpaceDE w:val="0"/>
        <w:autoSpaceDN w:val="0"/>
        <w:adjustRightInd w:val="0"/>
        <w:spacing w:after="0" w:line="240" w:lineRule="auto"/>
        <w:jc w:val="both"/>
      </w:pPr>
      <w:r>
        <w:t>wprowadzić oznakowanie drogi na okres robót,</w:t>
      </w:r>
    </w:p>
    <w:p w:rsidR="00C96A5B" w:rsidRDefault="00C96A5B" w:rsidP="00B4292E">
      <w:pPr>
        <w:numPr>
          <w:ilvl w:val="0"/>
          <w:numId w:val="62"/>
        </w:numPr>
        <w:overflowPunct w:val="0"/>
        <w:autoSpaceDE w:val="0"/>
        <w:autoSpaceDN w:val="0"/>
        <w:adjustRightInd w:val="0"/>
        <w:spacing w:after="0" w:line="240" w:lineRule="auto"/>
        <w:jc w:val="both"/>
      </w:pPr>
      <w:r>
        <w:t>zgromadzić materiały i sprzęt potrzebne do rozpoczęcia robót.</w:t>
      </w:r>
    </w:p>
    <w:p w:rsidR="00C96A5B" w:rsidRDefault="00C96A5B" w:rsidP="00C96A5B">
      <w:pPr>
        <w:ind w:firstLine="709"/>
      </w:pPr>
      <w:r>
        <w:t xml:space="preserve">Można dodatkowo korzystać z OST D-01.00.00 [2] przy robotach przygotowawczych oraz z OST D-02.00.00 [3] przy występowaniu robót ziemnych. </w:t>
      </w:r>
    </w:p>
    <w:p w:rsidR="00C96A5B" w:rsidRDefault="00C96A5B" w:rsidP="00C96A5B">
      <w:pPr>
        <w:pStyle w:val="Nagwek2"/>
      </w:pPr>
      <w:r>
        <w:t>5.4. Projektowanie mieszanki związanej cementem</w:t>
      </w:r>
    </w:p>
    <w:p w:rsidR="00C96A5B" w:rsidRDefault="00C96A5B" w:rsidP="00C96A5B">
      <w:r>
        <w:tab/>
        <w:t>Przed przystąpieniem do robót, w terminie uzgodnionym z Inżynierem, Wykonawca dostarczy Inżynierowi do akceptacji projekt składu mieszanki związanej cementem oraz wyniki badań laboratoryjnych poszczególnych składników i próbki materiałów pobrane w obecności Inżyniera do wykonania badań kontrolnych przez Inżyniera.</w:t>
      </w:r>
    </w:p>
    <w:p w:rsidR="00C96A5B" w:rsidRDefault="00C96A5B" w:rsidP="00C96A5B">
      <w:r>
        <w:tab/>
        <w:t>Projektowanie mieszanki polega na doborze kruszywa do mieszanki, ilości cementu, ilości wody. Procedura projektowa powinna być oparta na próbach laboratoryjnych i/lub polowych przeprowadzonych na tych samych składnikach, z tych samych źródeł i o takich samych właściwościach, jak te które będą stosowane do wykonania podbudowy lub podłoża ulepszonego.</w:t>
      </w:r>
    </w:p>
    <w:p w:rsidR="00C96A5B" w:rsidRDefault="00C96A5B" w:rsidP="00C96A5B">
      <w:r>
        <w:tab/>
        <w:t>Skład mieszanek projektuje się ze względu na wytrzymałość na ściskanie próbek (system I), zagęszczanych metodą Proctora wg PN-EN 13286-50 [22] w formach walcowych H/D = 1. Klasy wytrzymałości przyjmuje się wg tablicy 2.</w:t>
      </w:r>
    </w:p>
    <w:p w:rsidR="00C96A5B" w:rsidRDefault="00C96A5B" w:rsidP="00C96A5B">
      <w:r>
        <w:tab/>
        <w:t>Wytrzymałość na ściskanie R</w:t>
      </w:r>
      <w:r>
        <w:rPr>
          <w:vertAlign w:val="subscript"/>
        </w:rPr>
        <w:t>c</w:t>
      </w:r>
      <w:r>
        <w:t xml:space="preserve"> określonej mieszanki oznaczona zgodnie z PN-EN 13286-41 [21] powinna być równa lub większa od wytrzymałości na ściskanie wymaganej dla danej klasy wytrzymałości podanej w tablicy 2.</w:t>
      </w:r>
    </w:p>
    <w:p w:rsidR="00C96A5B" w:rsidRDefault="00C96A5B" w:rsidP="00C96A5B">
      <w:pPr>
        <w:spacing w:before="120" w:after="120"/>
      </w:pPr>
      <w:r>
        <w:lastRenderedPageBreak/>
        <w:t>Tablica 2. Klasy wytrzymałości wg normy PN-EN 14227-1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87"/>
        <w:gridCol w:w="2023"/>
        <w:gridCol w:w="1733"/>
      </w:tblGrid>
      <w:tr w:rsidR="00C96A5B" w:rsidTr="00E558D1">
        <w:tc>
          <w:tcPr>
            <w:tcW w:w="1668" w:type="dxa"/>
            <w:vMerge w:val="restart"/>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p w:rsidR="00C96A5B" w:rsidRDefault="00C96A5B" w:rsidP="00E558D1">
            <w:pPr>
              <w:jc w:val="center"/>
            </w:pPr>
            <w:r>
              <w:t>Lp.</w:t>
            </w:r>
          </w:p>
        </w:tc>
        <w:tc>
          <w:tcPr>
            <w:tcW w:w="4110" w:type="dxa"/>
            <w:gridSpan w:val="2"/>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Wytrzymałość charakterystyczna na ściskanie R</w:t>
            </w:r>
            <w:r>
              <w:rPr>
                <w:vertAlign w:val="subscript"/>
              </w:rPr>
              <w:t>c</w:t>
            </w:r>
            <w:r>
              <w:t xml:space="preserve"> , po 28 dniach, MPa dla próbek walcowych o</w:t>
            </w:r>
          </w:p>
        </w:tc>
        <w:tc>
          <w:tcPr>
            <w:tcW w:w="1733" w:type="dxa"/>
            <w:vMerge w:val="restart"/>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r>
              <w:t>Klasa wytrzymałości</w:t>
            </w:r>
          </w:p>
          <w:p w:rsidR="00C96A5B" w:rsidRDefault="00C96A5B" w:rsidP="00E558D1"/>
        </w:tc>
      </w:tr>
      <w:tr w:rsidR="00C96A5B" w:rsidTr="00E558D1">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H/D</w:t>
            </w:r>
            <w:r>
              <w:rPr>
                <w:vertAlign w:val="superscript"/>
              </w:rPr>
              <w:t>a</w:t>
            </w:r>
            <w:r>
              <w:t xml:space="preserve"> = 2,0</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perscript"/>
              </w:rPr>
            </w:pPr>
            <w:r>
              <w:t>H/D</w:t>
            </w:r>
            <w:r>
              <w:rPr>
                <w:vertAlign w:val="superscript"/>
              </w:rPr>
              <w:t>a</w:t>
            </w:r>
            <w:r>
              <w:t xml:space="preserve"> = 1,0</w:t>
            </w:r>
            <w:r>
              <w:rPr>
                <w:vertAlign w:val="superscript"/>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w:t>
            </w:r>
          </w:p>
        </w:tc>
        <w:tc>
          <w:tcPr>
            <w:tcW w:w="4110" w:type="dxa"/>
            <w:gridSpan w:val="2"/>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brak wymagań</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bscript"/>
              </w:rPr>
            </w:pPr>
            <w:r>
              <w:t>C</w:t>
            </w:r>
            <w:r>
              <w:rPr>
                <w:vertAlign w:val="subscript"/>
              </w:rPr>
              <w:t>0</w:t>
            </w:r>
          </w:p>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w:t>
            </w:r>
          </w:p>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1,5</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2,0</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C</w:t>
            </w:r>
            <w:r>
              <w:rPr>
                <w:vertAlign w:val="subscript"/>
              </w:rPr>
              <w:t>1,5/2,0</w:t>
            </w:r>
          </w:p>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3</w:t>
            </w:r>
          </w:p>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3,0</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4,0</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bscript"/>
              </w:rPr>
            </w:pPr>
            <w:r>
              <w:t>C</w:t>
            </w:r>
            <w:r>
              <w:rPr>
                <w:vertAlign w:val="subscript"/>
              </w:rPr>
              <w:t>3/4</w:t>
            </w:r>
          </w:p>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4</w:t>
            </w:r>
          </w:p>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5,0</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6,0</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bscript"/>
              </w:rPr>
            </w:pPr>
            <w:r>
              <w:t>C</w:t>
            </w:r>
            <w:r>
              <w:rPr>
                <w:vertAlign w:val="subscript"/>
              </w:rPr>
              <w:t>5/6</w:t>
            </w:r>
          </w:p>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5</w:t>
            </w:r>
          </w:p>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8,0</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10,0</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bscript"/>
              </w:rPr>
            </w:pPr>
            <w:r>
              <w:t>C</w:t>
            </w:r>
            <w:r>
              <w:rPr>
                <w:vertAlign w:val="subscript"/>
              </w:rPr>
              <w:t>8/10</w:t>
            </w:r>
          </w:p>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6</w:t>
            </w:r>
          </w:p>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12</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15</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bscript"/>
              </w:rPr>
            </w:pPr>
            <w:r>
              <w:t>C</w:t>
            </w:r>
            <w:r>
              <w:rPr>
                <w:vertAlign w:val="subscript"/>
              </w:rPr>
              <w:t>12/15</w:t>
            </w:r>
          </w:p>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7</w:t>
            </w:r>
          </w:p>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16</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20</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bscript"/>
              </w:rPr>
            </w:pPr>
            <w:r>
              <w:t>C</w:t>
            </w:r>
            <w:r>
              <w:rPr>
                <w:vertAlign w:val="subscript"/>
              </w:rPr>
              <w:t>16/20</w:t>
            </w:r>
          </w:p>
        </w:tc>
      </w:tr>
      <w:tr w:rsidR="00C96A5B" w:rsidTr="00E558D1">
        <w:tc>
          <w:tcPr>
            <w:tcW w:w="1668"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8</w:t>
            </w:r>
          </w:p>
        </w:tc>
        <w:tc>
          <w:tcPr>
            <w:tcW w:w="208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20</w:t>
            </w:r>
          </w:p>
        </w:tc>
        <w:tc>
          <w:tcPr>
            <w:tcW w:w="202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25</w:t>
            </w:r>
          </w:p>
        </w:tc>
        <w:tc>
          <w:tcPr>
            <w:tcW w:w="1733"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bscript"/>
              </w:rPr>
            </w:pPr>
            <w:r>
              <w:t>C</w:t>
            </w:r>
            <w:r>
              <w:rPr>
                <w:vertAlign w:val="subscript"/>
              </w:rPr>
              <w:t>20/25</w:t>
            </w:r>
          </w:p>
        </w:tc>
      </w:tr>
      <w:tr w:rsidR="00C96A5B" w:rsidTr="00E558D1">
        <w:tc>
          <w:tcPr>
            <w:tcW w:w="7511"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r>
              <w:rPr>
                <w:vertAlign w:val="superscript"/>
              </w:rPr>
              <w:t>a</w:t>
            </w:r>
            <w:r>
              <w:t xml:space="preserve"> H/D = stosunek wysokości do średnicy próbki</w:t>
            </w:r>
          </w:p>
          <w:p w:rsidR="00C96A5B" w:rsidRDefault="00C96A5B" w:rsidP="00E558D1">
            <w:r>
              <w:rPr>
                <w:vertAlign w:val="superscript"/>
              </w:rPr>
              <w:t>b</w:t>
            </w:r>
            <w:r>
              <w:t xml:space="preserve"> H/D = 0,8 d0 1,21</w:t>
            </w:r>
          </w:p>
        </w:tc>
      </w:tr>
    </w:tbl>
    <w:p w:rsidR="00C96A5B" w:rsidRDefault="00C96A5B" w:rsidP="00C96A5B">
      <w:pPr>
        <w:spacing w:before="120"/>
      </w:pPr>
      <w:r>
        <w:tab/>
        <w:t>Dopuszcza się podawanie wytrzymałości na ściskanie R</w:t>
      </w:r>
      <w:r>
        <w:rPr>
          <w:vertAlign w:val="subscript"/>
        </w:rPr>
        <w:t>c</w:t>
      </w:r>
      <w:r>
        <w:t xml:space="preserve"> z dodatkowym indeksem informującym o czasie pielęgnacji, np. R</w:t>
      </w:r>
      <w:r>
        <w:rPr>
          <w:vertAlign w:val="subscript"/>
        </w:rPr>
        <w:t>c7</w:t>
      </w:r>
      <w:r>
        <w:t>, R</w:t>
      </w:r>
      <w:r>
        <w:rPr>
          <w:vertAlign w:val="subscript"/>
        </w:rPr>
        <w:t>c14</w:t>
      </w:r>
      <w:r>
        <w:t>, R</w:t>
      </w:r>
      <w:r>
        <w:rPr>
          <w:vertAlign w:val="subscript"/>
        </w:rPr>
        <w:t>c28</w:t>
      </w:r>
      <w:r>
        <w:t>.</w:t>
      </w:r>
    </w:p>
    <w:p w:rsidR="00C96A5B" w:rsidRDefault="00C96A5B" w:rsidP="00C96A5B">
      <w:r>
        <w:tab/>
        <w:t>Określone w badaniu progowe ilości wody powinny uwzględniać właściwe zagęszczenie i oczekiwane parametry mechaniczne mieszanki. Należy określić procentowy udział składników w stosunku do całkowitej masy mieszanki w stanie suchym oraz uziarnienie i gęstość objętościową. Proporcję należy określić laboratoryjnie lub/i na podstawie praktycznych doświadczeń z mieszankami wykonywanymi z tych samych składników i w tych samych warunkach, spełniające wymagania niniejszej specyfikacji.</w:t>
      </w:r>
    </w:p>
    <w:p w:rsidR="00C96A5B" w:rsidRDefault="00C96A5B" w:rsidP="00C96A5B">
      <w:r>
        <w:tab/>
        <w:t>Sprawdzenie uziarnienia mieszanki mineralnej należy wykonać zgodnie z metodą wg PN-EN 933-1 [6]. Do analizy stosuje się zestaw sit podstawowy + 1, składający się z następujących sit o oczkach kwadratowych w mm: 0,063; 0,50; 1,0; 2,0; 4,0; 5,6; 8,0; 11,2; 16,0; 22,4; 31,5; 45,0.</w:t>
      </w:r>
    </w:p>
    <w:p w:rsidR="00C96A5B" w:rsidRDefault="00C96A5B" w:rsidP="00C96A5B">
      <w:r>
        <w:tab/>
        <w:t>Krzywa uziarnienia mieszanki powinna zawierać się w obszarze między krzywymi granicznymi uziarnienia przedstawionych na rys. 1÷5, odpowiednio dla każdego rodzaju mieszanki.</w:t>
      </w:r>
    </w:p>
    <w:p w:rsidR="00C96A5B" w:rsidRDefault="00C96A5B" w:rsidP="00C96A5B"/>
    <w:p w:rsidR="00C96A5B" w:rsidRDefault="00C96A5B" w:rsidP="00C96A5B"/>
    <w:p w:rsidR="00C96A5B" w:rsidRDefault="00C96A5B" w:rsidP="00C96A5B">
      <w:r>
        <w:rPr>
          <w:noProof/>
          <w:lang w:eastAsia="pl-PL"/>
        </w:rPr>
        <w:lastRenderedPageBreak/>
        <w:drawing>
          <wp:inline distT="0" distB="0" distL="0" distR="0" wp14:anchorId="26A00051" wp14:editId="6338F060">
            <wp:extent cx="5248275" cy="3838575"/>
            <wp:effectExtent l="0" t="0" r="9525" b="9525"/>
            <wp:docPr id="14" name="Obraz 14"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3838575"/>
                    </a:xfrm>
                    <a:prstGeom prst="rect">
                      <a:avLst/>
                    </a:prstGeom>
                    <a:noFill/>
                    <a:ln>
                      <a:noFill/>
                    </a:ln>
                  </pic:spPr>
                </pic:pic>
              </a:graphicData>
            </a:graphic>
          </wp:inline>
        </w:drawing>
      </w:r>
    </w:p>
    <w:p w:rsidR="00C96A5B" w:rsidRDefault="00C96A5B" w:rsidP="00C96A5B">
      <w:pPr>
        <w:spacing w:before="120"/>
      </w:pPr>
      <w:r>
        <w:t>Rys. 1. Krzywe graniczne uziarnienia mieszanki mineralnej 0/31,5 mm</w:t>
      </w:r>
    </w:p>
    <w:p w:rsidR="00C96A5B" w:rsidRDefault="00C96A5B" w:rsidP="00C96A5B"/>
    <w:p w:rsidR="00C96A5B" w:rsidRDefault="00C96A5B" w:rsidP="00C96A5B"/>
    <w:p w:rsidR="00C96A5B" w:rsidRDefault="00C96A5B" w:rsidP="00C96A5B">
      <w:r>
        <w:rPr>
          <w:noProof/>
          <w:lang w:eastAsia="pl-PL"/>
        </w:rPr>
        <w:drawing>
          <wp:inline distT="0" distB="0" distL="0" distR="0" wp14:anchorId="1A6A819F" wp14:editId="02FB7613">
            <wp:extent cx="5248275" cy="3829050"/>
            <wp:effectExtent l="0" t="0" r="9525" b="0"/>
            <wp:docPr id="18" name="Obraz 18"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ys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275" cy="3829050"/>
                    </a:xfrm>
                    <a:prstGeom prst="rect">
                      <a:avLst/>
                    </a:prstGeom>
                    <a:noFill/>
                    <a:ln>
                      <a:noFill/>
                    </a:ln>
                  </pic:spPr>
                </pic:pic>
              </a:graphicData>
            </a:graphic>
          </wp:inline>
        </w:drawing>
      </w:r>
    </w:p>
    <w:p w:rsidR="00C96A5B" w:rsidRDefault="00C96A5B" w:rsidP="00C96A5B">
      <w:pPr>
        <w:spacing w:before="120"/>
      </w:pPr>
      <w:r>
        <w:lastRenderedPageBreak/>
        <w:t>Rys. 2. Krzywe graniczne uziarnienia mieszanki mineralnej 0/22,4 mm</w:t>
      </w:r>
    </w:p>
    <w:p w:rsidR="00C96A5B" w:rsidRDefault="00C96A5B" w:rsidP="00C96A5B"/>
    <w:p w:rsidR="00C96A5B" w:rsidRDefault="00C96A5B" w:rsidP="00C96A5B"/>
    <w:p w:rsidR="00C96A5B" w:rsidRDefault="00C96A5B" w:rsidP="00C96A5B">
      <w:r>
        <w:rPr>
          <w:noProof/>
          <w:lang w:eastAsia="pl-PL"/>
        </w:rPr>
        <w:drawing>
          <wp:inline distT="0" distB="0" distL="0" distR="0" wp14:anchorId="03ED6B0E" wp14:editId="4630BBC0">
            <wp:extent cx="5248275" cy="4010025"/>
            <wp:effectExtent l="0" t="0" r="9525" b="9525"/>
            <wp:docPr id="19" name="Obraz 19"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ys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275" cy="4010025"/>
                    </a:xfrm>
                    <a:prstGeom prst="rect">
                      <a:avLst/>
                    </a:prstGeom>
                    <a:noFill/>
                    <a:ln>
                      <a:noFill/>
                    </a:ln>
                  </pic:spPr>
                </pic:pic>
              </a:graphicData>
            </a:graphic>
          </wp:inline>
        </w:drawing>
      </w:r>
    </w:p>
    <w:p w:rsidR="00C96A5B" w:rsidRDefault="00C96A5B" w:rsidP="00C96A5B">
      <w:pPr>
        <w:spacing w:before="120"/>
      </w:pPr>
      <w:r>
        <w:t>Rys. 3. Krzywe graniczne uziarnienia mieszanki mineralnej 0/16 mm</w:t>
      </w:r>
    </w:p>
    <w:p w:rsidR="00C96A5B" w:rsidRDefault="00C96A5B" w:rsidP="00C96A5B"/>
    <w:p w:rsidR="00C96A5B" w:rsidRDefault="00C96A5B" w:rsidP="00C96A5B"/>
    <w:p w:rsidR="00C96A5B" w:rsidRDefault="00C96A5B" w:rsidP="00C96A5B">
      <w:r>
        <w:rPr>
          <w:noProof/>
          <w:lang w:eastAsia="pl-PL"/>
        </w:rPr>
        <w:lastRenderedPageBreak/>
        <w:drawing>
          <wp:inline distT="0" distB="0" distL="0" distR="0" wp14:anchorId="569F800B" wp14:editId="4000059B">
            <wp:extent cx="5248275" cy="3895725"/>
            <wp:effectExtent l="0" t="0" r="9525" b="9525"/>
            <wp:docPr id="20" name="Obraz 20" descr="ry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ys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275" cy="3895725"/>
                    </a:xfrm>
                    <a:prstGeom prst="rect">
                      <a:avLst/>
                    </a:prstGeom>
                    <a:noFill/>
                    <a:ln>
                      <a:noFill/>
                    </a:ln>
                  </pic:spPr>
                </pic:pic>
              </a:graphicData>
            </a:graphic>
          </wp:inline>
        </w:drawing>
      </w:r>
    </w:p>
    <w:p w:rsidR="00C96A5B" w:rsidRDefault="00C96A5B" w:rsidP="00C96A5B">
      <w:pPr>
        <w:spacing w:before="120"/>
      </w:pPr>
      <w:r>
        <w:t>Rys. 4. Krzywe graniczne uziarnienia mieszanki mineralnej 0/11,2 mm</w:t>
      </w:r>
    </w:p>
    <w:p w:rsidR="00C96A5B" w:rsidRDefault="00C96A5B" w:rsidP="00C96A5B"/>
    <w:p w:rsidR="00C96A5B" w:rsidRDefault="00C96A5B" w:rsidP="00C96A5B"/>
    <w:p w:rsidR="00C96A5B" w:rsidRDefault="00C96A5B" w:rsidP="00C96A5B">
      <w:r>
        <w:rPr>
          <w:noProof/>
          <w:lang w:eastAsia="pl-PL"/>
        </w:rPr>
        <w:drawing>
          <wp:inline distT="0" distB="0" distL="0" distR="0" wp14:anchorId="5BE3DC74" wp14:editId="4F8D437A">
            <wp:extent cx="5248275" cy="3867150"/>
            <wp:effectExtent l="0" t="0" r="9525" b="0"/>
            <wp:docPr id="21" name="Obraz 21" descr="ry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rys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275" cy="3867150"/>
                    </a:xfrm>
                    <a:prstGeom prst="rect">
                      <a:avLst/>
                    </a:prstGeom>
                    <a:noFill/>
                    <a:ln>
                      <a:noFill/>
                    </a:ln>
                  </pic:spPr>
                </pic:pic>
              </a:graphicData>
            </a:graphic>
          </wp:inline>
        </w:drawing>
      </w:r>
    </w:p>
    <w:p w:rsidR="00C96A5B" w:rsidRDefault="00C96A5B" w:rsidP="00C96A5B">
      <w:pPr>
        <w:spacing w:before="120"/>
      </w:pPr>
      <w:r>
        <w:lastRenderedPageBreak/>
        <w:t>Rys.5. Krzywe graniczne uziarnienia mieszanki mineralnej 0/8 mm</w:t>
      </w:r>
    </w:p>
    <w:p w:rsidR="00C96A5B" w:rsidRDefault="00C96A5B" w:rsidP="00C96A5B"/>
    <w:p w:rsidR="00C96A5B" w:rsidRDefault="00C96A5B" w:rsidP="00C96A5B"/>
    <w:p w:rsidR="00C96A5B" w:rsidRDefault="00C96A5B" w:rsidP="00C96A5B">
      <w:r>
        <w:tab/>
        <w:t>Zawartość spoiwa (cementu) w mieszance powinna być określona na podstawie procedury projektowej i/lub doświadczenia z mieszankami wyprodukowanymi przy użyciu proponowanych składników. Zawartość spoiwa nie powinna być mniejsza od minimalnych wartości przedstawionych w tablicy 3.</w:t>
      </w:r>
    </w:p>
    <w:p w:rsidR="00C96A5B" w:rsidRDefault="00C96A5B" w:rsidP="00C96A5B">
      <w:pPr>
        <w:spacing w:before="120" w:after="120"/>
      </w:pPr>
      <w:r>
        <w:t>Tablica 3. Minimalna zawartość spoiwa (cementu) w mieszance wg PN-EN 14227-1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34"/>
      </w:tblGrid>
      <w:tr w:rsidR="00C96A5B" w:rsidTr="00E558D1">
        <w:tc>
          <w:tcPr>
            <w:tcW w:w="407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Maksymalny nominalny wymiar kruszywa, mm</w:t>
            </w:r>
          </w:p>
        </w:tc>
        <w:tc>
          <w:tcPr>
            <w:tcW w:w="343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Minimalna zawartość spoiwa, % m/m</w:t>
            </w:r>
          </w:p>
        </w:tc>
      </w:tr>
      <w:tr w:rsidR="00C96A5B" w:rsidTr="00E558D1">
        <w:tc>
          <w:tcPr>
            <w:tcW w:w="407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&gt; 8,0 do 31,5</w:t>
            </w:r>
          </w:p>
        </w:tc>
        <w:tc>
          <w:tcPr>
            <w:tcW w:w="343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3</w:t>
            </w:r>
          </w:p>
        </w:tc>
      </w:tr>
      <w:tr w:rsidR="00C96A5B" w:rsidTr="00E558D1">
        <w:tc>
          <w:tcPr>
            <w:tcW w:w="407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2,0 do 8,0</w:t>
            </w:r>
          </w:p>
        </w:tc>
        <w:tc>
          <w:tcPr>
            <w:tcW w:w="343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4</w:t>
            </w:r>
          </w:p>
        </w:tc>
      </w:tr>
      <w:tr w:rsidR="00C96A5B" w:rsidTr="00E558D1">
        <w:tc>
          <w:tcPr>
            <w:tcW w:w="407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&lt; 2,0</w:t>
            </w:r>
          </w:p>
        </w:tc>
        <w:tc>
          <w:tcPr>
            <w:tcW w:w="343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5</w:t>
            </w:r>
          </w:p>
        </w:tc>
      </w:tr>
    </w:tbl>
    <w:p w:rsidR="00C96A5B" w:rsidRDefault="00C96A5B" w:rsidP="00C96A5B"/>
    <w:p w:rsidR="00C96A5B" w:rsidRDefault="00C96A5B" w:rsidP="00C96A5B">
      <w:r>
        <w:tab/>
        <w:t>Dopuszczalne jest zastosowanie mniejszej ilości spoiwa niż podano w tablicy 3, jeśli podczas procesu produkcyjnego stwierdzone zostanie, że zachowana jest zgodność z wymaganiami tablic 4÷6 niniejszej specyfikacji.</w:t>
      </w:r>
    </w:p>
    <w:p w:rsidR="00C96A5B" w:rsidRDefault="00C96A5B" w:rsidP="00C96A5B">
      <w:r>
        <w:tab/>
        <w:t>Zawartość wody w mieszance powinna być określona na podstawie procedury projektowej wg metody Proctora i/lub doświadczenia z mieszankami wyprodukowanymi przy użyciu proponowanych składników. Zawartość wody należy określić zgodnie z PN-EN 13286-2 [20].</w:t>
      </w:r>
    </w:p>
    <w:p w:rsidR="00C96A5B" w:rsidRDefault="00C96A5B" w:rsidP="00C96A5B">
      <w:r>
        <w:tab/>
        <w:t>Próbki walcowe zagęszczane ubijakiem Proctora, powinny być przygotowane zgodnie z PN-EN 13286-50 [22]. Próbki należy przechowywać przez 14 dni w temperaturze pokojowej z zabezpieczeniem przed wysychaniem (w komorze o wilgotności powyżej 95% - 100% lub w wilgotnym piasku) i następnie zanurzyć na 14 dni do wody o temperaturze pokojowej. Nasycanie próbek wodą odbywa się pod ciśnieniem normalnym i przy całkowitym ich zanurzeniu w wodzie.</w:t>
      </w:r>
    </w:p>
    <w:p w:rsidR="00C96A5B" w:rsidRDefault="00C96A5B" w:rsidP="00C96A5B">
      <w:r>
        <w:tab/>
        <w:t>Badanie wytrzymałości na ściskanie (system I) należy przeprowadzić na próbkach walcowych przygotowanych metodą Proctora zgodnie z PN-EN 13286-50 [22], przy wykorzystaniu metody badawczej zgodniej z PN-EN 13286-41 [21]. Wytrzymałość na ściskanie określonej mieszanki powinna być oznaczana zgodnie z PN-EN 13286-41 [21], po 28 dniach pielęgnacji. Dopuszcza się w praktyce wykonawczej stosowanie dodatkowo wytrzymałości na ściskanie określonej po innym okresie pielęgnacji, np. po 7 lub 14 dniach. Wymagane właściwości po 28 dniach pielęgnacji pozostają bez zmian.</w:t>
      </w:r>
    </w:p>
    <w:p w:rsidR="00C96A5B" w:rsidRDefault="00C96A5B" w:rsidP="00C96A5B">
      <w:r>
        <w:tab/>
        <w:t xml:space="preserve">Wskaźnik mrozoodporności mieszanki związanej cementem określany jest stosunkiem wytrzymałości na ściskanie </w:t>
      </w:r>
      <w:r>
        <w:rPr>
          <w:position w:val="-10"/>
        </w:rPr>
        <w:object w:dxaOrig="480" w:dyaOrig="345">
          <v:shape id="_x0000_i1028" type="#_x0000_t75" style="width:24pt;height:17.25pt" o:ole="">
            <v:imagedata r:id="rId22" o:title=""/>
          </v:shape>
          <o:OLEObject Type="Embed" ProgID="Equation.3" ShapeID="_x0000_i1028" DrawAspect="Content" ObjectID="_1716705620" r:id="rId23"/>
        </w:object>
      </w:r>
      <w:r>
        <w:t>próbki po 28 dniach pielęgnacji i po 14 cyklach zamrażania i odmrażania do wytrzymałości na ściskanie R</w:t>
      </w:r>
      <w:r>
        <w:rPr>
          <w:vertAlign w:val="subscript"/>
        </w:rPr>
        <w:t>c</w:t>
      </w:r>
      <w:r>
        <w:t xml:space="preserve"> próbki po 28 dniach pielęgnacji. </w:t>
      </w:r>
    </w:p>
    <w:p w:rsidR="00C96A5B" w:rsidRDefault="00C96A5B" w:rsidP="00C96A5B">
      <w:r>
        <w:t xml:space="preserve">Wskaźnik mrozoodporności = </w:t>
      </w:r>
      <w:r>
        <w:rPr>
          <w:position w:val="-26"/>
          <w:vertAlign w:val="subscript"/>
        </w:rPr>
        <w:object w:dxaOrig="540" w:dyaOrig="645">
          <v:shape id="_x0000_i1029" type="#_x0000_t75" style="width:27pt;height:32.25pt" o:ole="">
            <v:imagedata r:id="rId24" o:title=""/>
          </v:shape>
          <o:OLEObject Type="Embed" ProgID="Equation.3" ShapeID="_x0000_i1029" DrawAspect="Content" ObjectID="_1716705621" r:id="rId25"/>
        </w:object>
      </w:r>
      <w:r>
        <w:t xml:space="preserve">. </w:t>
      </w:r>
    </w:p>
    <w:p w:rsidR="00C96A5B" w:rsidRDefault="00C96A5B" w:rsidP="00C96A5B">
      <w:pPr>
        <w:spacing w:before="120"/>
        <w:ind w:firstLine="709"/>
      </w:pPr>
      <w:r>
        <w:t xml:space="preserve">Próbki do oznaczenia wskaźnika mrozoodporności należy przechowywać przez 28 dni w temperaturze pokojowej z zabezpieczeniem przed wysychaniem (w komorze o wilgotności 95% ÷ </w:t>
      </w:r>
      <w:r>
        <w:lastRenderedPageBreak/>
        <w:t>100% lub w wilgotnym piasku). Następnie należy je całkowicie zanurzyć na 1 dobę w wodzie, a następnie w ciągu kolejnych 14 dni poddać cyklom zamrażania i odmrażania. Jeden cykl zamrażania i odmrażania polega na zamrażaniu próbki w temperaturze -23 ±2</w:t>
      </w:r>
      <w:r>
        <w:rPr>
          <w:vertAlign w:val="superscript"/>
        </w:rPr>
        <w:t>o</w:t>
      </w:r>
      <w:r>
        <w:t>C przez  8 godzin i odmrażania w wodzie o temperaturze +18 ±2</w:t>
      </w:r>
      <w:r>
        <w:rPr>
          <w:vertAlign w:val="superscript"/>
        </w:rPr>
        <w:t>o</w:t>
      </w:r>
      <w:r>
        <w:t xml:space="preserve">C przez 16 godzin. Oznaczenie wskaźnika mrozoodporności należy przeprowadzać na 3 próbkach i do obliczeń przyjmować średnią. Wynik badania różniący się od średniej o więcej niż 20% należy odrzucić, a jako miarodajną wartość wytrzymałości na ściskanie </w:t>
      </w:r>
      <w:r>
        <w:rPr>
          <w:position w:val="-10"/>
        </w:rPr>
        <w:object w:dxaOrig="480" w:dyaOrig="345">
          <v:shape id="_x0000_i1030" type="#_x0000_t75" style="width:24pt;height:17.25pt" o:ole="">
            <v:imagedata r:id="rId26" o:title=""/>
          </v:shape>
          <o:OLEObject Type="Embed" ProgID="Equation.3" ShapeID="_x0000_i1030" DrawAspect="Content" ObjectID="_1716705622" r:id="rId27"/>
        </w:object>
      </w:r>
      <w:r>
        <w:rPr>
          <w:i/>
        </w:rPr>
        <w:t>, R</w:t>
      </w:r>
      <w:r>
        <w:rPr>
          <w:i/>
          <w:vertAlign w:val="subscript"/>
        </w:rPr>
        <w:t>c</w:t>
      </w:r>
      <w:r>
        <w:t xml:space="preserve"> należy przyjąć średnią obliczoną z pozostałych dwóch wyników, z dokładnością 0,1. </w:t>
      </w:r>
    </w:p>
    <w:p w:rsidR="00C96A5B" w:rsidRDefault="00C96A5B" w:rsidP="00C96A5B">
      <w:pPr>
        <w:rPr>
          <w:u w:val="single"/>
        </w:rPr>
      </w:pPr>
      <w:r>
        <w:rPr>
          <w:u w:val="single"/>
        </w:rPr>
        <w:t>Wymagania wobec mieszanek</w:t>
      </w:r>
    </w:p>
    <w:p w:rsidR="00C96A5B" w:rsidRDefault="00C96A5B" w:rsidP="00C96A5B">
      <w:r>
        <w:tab/>
        <w:t>Mieszanki związane cementem klasyfikuje się pod względem właściwości wytrzymałościowych mieszanki przez wytrzymałość charakterystyczną na ściskanie R</w:t>
      </w:r>
      <w:r>
        <w:rPr>
          <w:vertAlign w:val="subscript"/>
        </w:rPr>
        <w:t>c</w:t>
      </w:r>
      <w:r>
        <w:t xml:space="preserve"> próbek zgodnie z przyjętym systemem I.</w:t>
      </w:r>
    </w:p>
    <w:p w:rsidR="00C96A5B" w:rsidRDefault="00C96A5B" w:rsidP="00C96A5B">
      <w:r>
        <w:tab/>
        <w:t>W tablicach 4 ÷ 6 przedstawia się zbiorcze zestawienia wymagań wobec mieszanek wraz z wymaganymi wytrzymałościami na ściskanie.</w:t>
      </w:r>
    </w:p>
    <w:p w:rsidR="00C96A5B" w:rsidRDefault="00C96A5B" w:rsidP="00C96A5B">
      <w:pPr>
        <w:spacing w:before="120" w:after="120"/>
        <w:ind w:left="992" w:hanging="992"/>
      </w:pPr>
      <w:r>
        <w:t>Tablica 4. Wymagania wobec mieszanek związanych cementem do warstwy podłoża ulepszonego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90"/>
        <w:gridCol w:w="2504"/>
      </w:tblGrid>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120"/>
              <w:jc w:val="center"/>
            </w:pPr>
            <w:r>
              <w:t>Lp.</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120"/>
              <w:jc w:val="center"/>
            </w:pPr>
            <w:r>
              <w:t>Właściwość</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xml:space="preserve">Wymagania dla ruchu </w:t>
            </w:r>
          </w:p>
          <w:p w:rsidR="00C96A5B" w:rsidRDefault="00C96A5B" w:rsidP="00E558D1">
            <w:pPr>
              <w:jc w:val="center"/>
            </w:pPr>
            <w:r>
              <w:t>KR1 ÷ KR6</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1.0</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Składniki</w:t>
            </w:r>
          </w:p>
        </w:tc>
        <w:tc>
          <w:tcPr>
            <w:tcW w:w="2504" w:type="dxa"/>
            <w:tcBorders>
              <w:top w:val="single" w:sz="4" w:space="0" w:color="auto"/>
              <w:left w:val="single" w:sz="4" w:space="0" w:color="auto"/>
              <w:bottom w:val="single" w:sz="4" w:space="0" w:color="auto"/>
              <w:right w:val="single" w:sz="4" w:space="0" w:color="auto"/>
            </w:tcBorders>
            <w:noWrap/>
          </w:tcPr>
          <w:p w:rsidR="00C96A5B" w:rsidRDefault="00C96A5B" w:rsidP="00E558D1">
            <w:pPr>
              <w:spacing w:before="60" w:after="60"/>
              <w:jc w:val="center"/>
            </w:pP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1.1</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Cement</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wg p. 2.2.4</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1.2</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Kruszywo</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wg tablicy 1</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1.3</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Woda zarobowa</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wg p. 2.2.5</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1.4</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Dodatki</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wg p. 2.2.6</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2.0</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Mieszanka</w:t>
            </w:r>
          </w:p>
        </w:tc>
        <w:tc>
          <w:tcPr>
            <w:tcW w:w="2504" w:type="dxa"/>
            <w:tcBorders>
              <w:top w:val="single" w:sz="4" w:space="0" w:color="auto"/>
              <w:left w:val="single" w:sz="4" w:space="0" w:color="auto"/>
              <w:bottom w:val="single" w:sz="4" w:space="0" w:color="auto"/>
              <w:right w:val="single" w:sz="4" w:space="0" w:color="auto"/>
            </w:tcBorders>
            <w:noWrap/>
          </w:tcPr>
          <w:p w:rsidR="00C96A5B" w:rsidRDefault="00C96A5B" w:rsidP="00E558D1">
            <w:pPr>
              <w:spacing w:before="60" w:after="60"/>
              <w:jc w:val="center"/>
            </w:pP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2.1</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Uziarnienie:</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krzywe graniczne</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0/8 mm</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perscript"/>
              </w:rPr>
            </w:pPr>
            <w:r>
              <w:t>wg rys. 5</w:t>
            </w:r>
            <w:r>
              <w:rPr>
                <w:vertAlign w:val="superscript"/>
              </w:rPr>
              <w:t>*)</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0/11,2 mm</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4</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0/16 mm</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3</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0/22,4 mm</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2</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0/31,5 mm</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1</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2.2</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Minimalna zawartość cementu</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wg tablicy 3</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2.3</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pPr>
            <w:r>
              <w:t>Zawartość wody</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60" w:after="60"/>
              <w:jc w:val="center"/>
            </w:pPr>
            <w:r>
              <w:t>wg projektu mieszanki</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2.4</w:t>
            </w:r>
          </w:p>
        </w:tc>
        <w:tc>
          <w:tcPr>
            <w:tcW w:w="4190"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Wytrzymałość na ściskanie (system I) – klasa wytrzymałości R</w:t>
            </w:r>
            <w:r>
              <w:rPr>
                <w:vertAlign w:val="subscript"/>
              </w:rPr>
              <w:t>c</w:t>
            </w:r>
            <w:r>
              <w:t xml:space="preserve"> wg tablicy 2</w:t>
            </w:r>
          </w:p>
        </w:tc>
        <w:tc>
          <w:tcPr>
            <w:tcW w:w="2504"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120"/>
              <w:jc w:val="center"/>
            </w:pPr>
            <w:r>
              <w:t>klasa C 1,5/2,0</w:t>
            </w:r>
          </w:p>
        </w:tc>
      </w:tr>
    </w:tbl>
    <w:p w:rsidR="00C96A5B" w:rsidRDefault="00C96A5B" w:rsidP="00C96A5B">
      <w:pPr>
        <w:spacing w:before="120"/>
      </w:pPr>
      <w:r>
        <w:rPr>
          <w:vertAlign w:val="superscript"/>
        </w:rPr>
        <w:t>*)</w:t>
      </w:r>
      <w:r>
        <w:t xml:space="preserve"> Mieszankę 0/8 mm można stosować tylko dla ruchu KR1 i KR2</w:t>
      </w:r>
    </w:p>
    <w:p w:rsidR="00C96A5B" w:rsidRDefault="00C96A5B" w:rsidP="00C96A5B">
      <w:pPr>
        <w:tabs>
          <w:tab w:val="left" w:pos="993"/>
        </w:tabs>
        <w:spacing w:before="120" w:after="120"/>
        <w:ind w:left="992" w:hanging="992"/>
      </w:pPr>
      <w:r>
        <w:br w:type="page"/>
      </w:r>
      <w:r>
        <w:lastRenderedPageBreak/>
        <w:t>Tablica 5.</w:t>
      </w:r>
      <w:r>
        <w:tab/>
        <w:t>Wymagania wobec mieszanek związanych cementem do warstwy podbudowy pomocniczej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1276"/>
        <w:gridCol w:w="1276"/>
        <w:gridCol w:w="1307"/>
      </w:tblGrid>
      <w:tr w:rsidR="00C96A5B" w:rsidTr="00E558D1">
        <w:tc>
          <w:tcPr>
            <w:tcW w:w="817" w:type="dxa"/>
            <w:vMerge w:val="restart"/>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120"/>
              <w:jc w:val="center"/>
            </w:pPr>
            <w:r>
              <w:t>Lp.</w:t>
            </w:r>
          </w:p>
        </w:tc>
        <w:tc>
          <w:tcPr>
            <w:tcW w:w="2835" w:type="dxa"/>
            <w:vMerge w:val="restart"/>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120"/>
              <w:jc w:val="center"/>
            </w:pPr>
            <w:r>
              <w:t>Właściwość</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Wymagania dla ruchu</w:t>
            </w:r>
          </w:p>
        </w:tc>
      </w:tr>
      <w:tr w:rsidR="00C96A5B" w:rsidTr="00E558D1">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KR1 – KR2</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KR3 – KR4</w:t>
            </w:r>
          </w:p>
        </w:tc>
        <w:tc>
          <w:tcPr>
            <w:tcW w:w="130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KR5 – KR6</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1.0</w:t>
            </w:r>
          </w:p>
        </w:tc>
        <w:tc>
          <w:tcPr>
            <w:tcW w:w="6694"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r>
              <w:t>Składniki</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1.1</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Cement</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 2.2.4</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1.2</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Kruszywo</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tablicy 1</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1.3</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Woda zarobowa</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 2.2.5</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1.4</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Dodatki</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 2.2.6</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2.0</w:t>
            </w:r>
          </w:p>
        </w:tc>
        <w:tc>
          <w:tcPr>
            <w:tcW w:w="6694"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r>
              <w:t>Mieszanka</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2.1</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Uziarnienie:</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Krzywe graniczne uziarnienia</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0/8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perscript"/>
              </w:rPr>
            </w:pPr>
            <w:r>
              <w:t>wg rys. 5</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0/11,2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4</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0/16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3</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0/22,4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2</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0/31,5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1</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2.2</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Minimalna zawartość cementu</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tablicy 3</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2.3</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Zawartość wody</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projektu mieszanki</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2.4</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Wytrzymałość na ściskanie (system I) – klasa wytrzymałości R</w:t>
            </w:r>
            <w:r>
              <w:rPr>
                <w:vertAlign w:val="subscript"/>
              </w:rPr>
              <w:t>c</w:t>
            </w:r>
            <w:r>
              <w:t xml:space="preserve"> wg tablicy 2</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klasa C 1,5/2,0 (nie więcej niż 4,0 MPa)</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klasa C 3/4</w:t>
            </w:r>
          </w:p>
          <w:p w:rsidR="00C96A5B" w:rsidRDefault="00C96A5B" w:rsidP="00E558D1">
            <w:pPr>
              <w:jc w:val="center"/>
            </w:pPr>
            <w:r>
              <w:t xml:space="preserve"> (nie więcej niż </w:t>
            </w:r>
          </w:p>
          <w:p w:rsidR="00C96A5B" w:rsidRDefault="00C96A5B" w:rsidP="00E558D1">
            <w:pPr>
              <w:jc w:val="center"/>
            </w:pPr>
            <w:r>
              <w:t>6,0 MPa)</w:t>
            </w:r>
          </w:p>
        </w:tc>
        <w:tc>
          <w:tcPr>
            <w:tcW w:w="130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klasa C 5/6</w:t>
            </w:r>
          </w:p>
          <w:p w:rsidR="00C96A5B" w:rsidRDefault="00C96A5B" w:rsidP="00E558D1">
            <w:pPr>
              <w:jc w:val="center"/>
            </w:pPr>
            <w:r>
              <w:t xml:space="preserve"> (nie więcej niż </w:t>
            </w:r>
          </w:p>
          <w:p w:rsidR="00C96A5B" w:rsidRDefault="00C96A5B" w:rsidP="00E558D1">
            <w:pPr>
              <w:jc w:val="center"/>
            </w:pPr>
            <w:r>
              <w:t>10,0 MPa)</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2.5</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Mrozoodporność</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0,6</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0,6</w:t>
            </w:r>
          </w:p>
        </w:tc>
        <w:tc>
          <w:tcPr>
            <w:tcW w:w="130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0,6</w:t>
            </w:r>
          </w:p>
        </w:tc>
      </w:tr>
    </w:tbl>
    <w:p w:rsidR="00C96A5B" w:rsidRDefault="00C96A5B" w:rsidP="00C96A5B">
      <w:pPr>
        <w:ind w:left="992" w:hanging="992"/>
      </w:pPr>
    </w:p>
    <w:p w:rsidR="00C96A5B" w:rsidRDefault="00C96A5B" w:rsidP="00C96A5B">
      <w:pPr>
        <w:tabs>
          <w:tab w:val="left" w:pos="993"/>
        </w:tabs>
        <w:spacing w:after="120"/>
        <w:ind w:left="992" w:hanging="992"/>
      </w:pPr>
      <w:r>
        <w:br w:type="page"/>
      </w:r>
      <w:r>
        <w:lastRenderedPageBreak/>
        <w:t>Tablica 6.</w:t>
      </w:r>
      <w:r>
        <w:tab/>
        <w:t>Wymagania wobec mieszanek związanych cementem do warstwy podbudowy zasadniczej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35"/>
        <w:gridCol w:w="1276"/>
        <w:gridCol w:w="1276"/>
        <w:gridCol w:w="1307"/>
      </w:tblGrid>
      <w:tr w:rsidR="00C96A5B" w:rsidTr="00E558D1">
        <w:tc>
          <w:tcPr>
            <w:tcW w:w="817" w:type="dxa"/>
            <w:vMerge w:val="restart"/>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120"/>
              <w:jc w:val="center"/>
            </w:pPr>
            <w:r>
              <w:t>Lp.</w:t>
            </w:r>
          </w:p>
        </w:tc>
        <w:tc>
          <w:tcPr>
            <w:tcW w:w="2835" w:type="dxa"/>
            <w:vMerge w:val="restart"/>
            <w:tcBorders>
              <w:top w:val="single" w:sz="4" w:space="0" w:color="auto"/>
              <w:left w:val="single" w:sz="4" w:space="0" w:color="auto"/>
              <w:bottom w:val="single" w:sz="4" w:space="0" w:color="auto"/>
              <w:right w:val="single" w:sz="4" w:space="0" w:color="auto"/>
            </w:tcBorders>
            <w:noWrap/>
            <w:hideMark/>
          </w:tcPr>
          <w:p w:rsidR="00C96A5B" w:rsidRDefault="00C96A5B" w:rsidP="00E558D1">
            <w:pPr>
              <w:spacing w:before="120"/>
              <w:jc w:val="center"/>
            </w:pPr>
            <w:r>
              <w:t>Właściwość</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Wymagania dla ruchu</w:t>
            </w:r>
          </w:p>
        </w:tc>
      </w:tr>
      <w:tr w:rsidR="00C96A5B" w:rsidTr="00E558D1">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tc>
        <w:tc>
          <w:tcPr>
            <w:tcW w:w="0" w:type="auto"/>
            <w:vMerge/>
            <w:tcBorders>
              <w:top w:val="single" w:sz="4" w:space="0" w:color="auto"/>
              <w:left w:val="single" w:sz="4" w:space="0" w:color="auto"/>
              <w:bottom w:val="single" w:sz="4" w:space="0" w:color="auto"/>
              <w:right w:val="single" w:sz="4" w:space="0" w:color="auto"/>
            </w:tcBorders>
            <w:vAlign w:val="center"/>
            <w:hideMark/>
          </w:tcPr>
          <w:p w:rsidR="00C96A5B" w:rsidRDefault="00C96A5B" w:rsidP="00E558D1"/>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KR1 – KR2</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KR3 – KR4</w:t>
            </w:r>
          </w:p>
        </w:tc>
        <w:tc>
          <w:tcPr>
            <w:tcW w:w="130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KR5 – KR6</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1.0</w:t>
            </w:r>
          </w:p>
        </w:tc>
        <w:tc>
          <w:tcPr>
            <w:tcW w:w="6694"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r>
              <w:t>Składniki</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1.1</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Cement</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 2.2.4</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1.2</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Kruszywo</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tablicy 1</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1.3</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Woda zarobowa</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 2.2.5</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1.4</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Dodatki</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 2.2.6</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2.0</w:t>
            </w:r>
          </w:p>
        </w:tc>
        <w:tc>
          <w:tcPr>
            <w:tcW w:w="6694" w:type="dxa"/>
            <w:gridSpan w:val="4"/>
            <w:tcBorders>
              <w:top w:val="single" w:sz="4" w:space="0" w:color="auto"/>
              <w:left w:val="single" w:sz="4" w:space="0" w:color="auto"/>
              <w:bottom w:val="single" w:sz="4" w:space="0" w:color="auto"/>
              <w:right w:val="single" w:sz="4" w:space="0" w:color="auto"/>
            </w:tcBorders>
            <w:noWrap/>
            <w:hideMark/>
          </w:tcPr>
          <w:p w:rsidR="00C96A5B" w:rsidRDefault="00C96A5B" w:rsidP="00E558D1">
            <w:r>
              <w:t>Mieszanka</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2.1</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Uziarnienie:</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Krzywe graniczne uziarnienia</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0/8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rPr>
                <w:vertAlign w:val="superscript"/>
              </w:rPr>
            </w:pPr>
            <w:r>
              <w:t>wg rys. 5</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0/11,2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4</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0/16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3</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0/22,4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2</w:t>
            </w:r>
          </w:p>
        </w:tc>
      </w:tr>
      <w:tr w:rsidR="00C96A5B" w:rsidTr="00E558D1">
        <w:tc>
          <w:tcPr>
            <w:tcW w:w="817" w:type="dxa"/>
            <w:tcBorders>
              <w:top w:val="single" w:sz="4" w:space="0" w:color="auto"/>
              <w:left w:val="single" w:sz="4" w:space="0" w:color="auto"/>
              <w:bottom w:val="single" w:sz="4" w:space="0" w:color="auto"/>
              <w:right w:val="single" w:sz="4" w:space="0" w:color="auto"/>
            </w:tcBorders>
            <w:noWrap/>
          </w:tcPr>
          <w:p w:rsidR="00C96A5B" w:rsidRDefault="00C96A5B" w:rsidP="00E558D1">
            <w:pPr>
              <w:jc w:val="center"/>
            </w:pP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 mieszanka 0/31,5 mm</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rys. 1</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2.2</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Minimalna zawartość cementu</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tablicy 3</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2.3</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Zawartość wody</w:t>
            </w:r>
          </w:p>
        </w:tc>
        <w:tc>
          <w:tcPr>
            <w:tcW w:w="3859" w:type="dxa"/>
            <w:gridSpan w:val="3"/>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wg projektu mieszanki</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2.4</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Wytrzymałość na ściskanie</w:t>
            </w:r>
            <w:r>
              <w:rPr>
                <w:vertAlign w:val="superscript"/>
              </w:rPr>
              <w:t xml:space="preserve">*) </w:t>
            </w:r>
            <w:r>
              <w:t xml:space="preserve"> (system I) – klasa wytrzy-małości R</w:t>
            </w:r>
            <w:r>
              <w:rPr>
                <w:vertAlign w:val="subscript"/>
              </w:rPr>
              <w:t>c</w:t>
            </w:r>
            <w:r>
              <w:t xml:space="preserve"> wg tablicy 2</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xml:space="preserve">klasa C 3/4 (nie więcej niż </w:t>
            </w:r>
          </w:p>
          <w:p w:rsidR="00C96A5B" w:rsidRDefault="00C96A5B" w:rsidP="00E558D1">
            <w:pPr>
              <w:jc w:val="center"/>
            </w:pPr>
            <w:r>
              <w:t>6,0 MPa)</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klasa C 5/6</w:t>
            </w:r>
          </w:p>
          <w:p w:rsidR="00C96A5B" w:rsidRDefault="00C96A5B" w:rsidP="00E558D1">
            <w:pPr>
              <w:jc w:val="center"/>
            </w:pPr>
            <w:r>
              <w:t xml:space="preserve"> (nie więcej niż </w:t>
            </w:r>
          </w:p>
          <w:p w:rsidR="00C96A5B" w:rsidRDefault="00C96A5B" w:rsidP="00E558D1">
            <w:pPr>
              <w:jc w:val="center"/>
            </w:pPr>
            <w:r>
              <w:t>10,0 MPa)</w:t>
            </w:r>
          </w:p>
        </w:tc>
        <w:tc>
          <w:tcPr>
            <w:tcW w:w="130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klasa C 8/10</w:t>
            </w:r>
          </w:p>
          <w:p w:rsidR="00C96A5B" w:rsidRDefault="00C96A5B" w:rsidP="00E558D1">
            <w:pPr>
              <w:jc w:val="center"/>
            </w:pPr>
            <w:r>
              <w:t xml:space="preserve"> (nie więcej niż </w:t>
            </w:r>
          </w:p>
          <w:p w:rsidR="00C96A5B" w:rsidRDefault="00C96A5B" w:rsidP="00E558D1">
            <w:pPr>
              <w:jc w:val="center"/>
            </w:pPr>
            <w:r>
              <w:t>20,0 MPa)</w:t>
            </w:r>
          </w:p>
        </w:tc>
      </w:tr>
      <w:tr w:rsidR="00C96A5B" w:rsidTr="00E558D1">
        <w:tc>
          <w:tcPr>
            <w:tcW w:w="81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2.5</w:t>
            </w:r>
          </w:p>
        </w:tc>
        <w:tc>
          <w:tcPr>
            <w:tcW w:w="2835" w:type="dxa"/>
            <w:tcBorders>
              <w:top w:val="single" w:sz="4" w:space="0" w:color="auto"/>
              <w:left w:val="single" w:sz="4" w:space="0" w:color="auto"/>
              <w:bottom w:val="single" w:sz="4" w:space="0" w:color="auto"/>
              <w:right w:val="single" w:sz="4" w:space="0" w:color="auto"/>
            </w:tcBorders>
            <w:noWrap/>
            <w:hideMark/>
          </w:tcPr>
          <w:p w:rsidR="00C96A5B" w:rsidRDefault="00C96A5B" w:rsidP="00E558D1">
            <w:r>
              <w:t>Mrozoodporność</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0,7</w:t>
            </w:r>
          </w:p>
        </w:tc>
        <w:tc>
          <w:tcPr>
            <w:tcW w:w="1276"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0,7</w:t>
            </w:r>
          </w:p>
        </w:tc>
        <w:tc>
          <w:tcPr>
            <w:tcW w:w="1307" w:type="dxa"/>
            <w:tcBorders>
              <w:top w:val="single" w:sz="4" w:space="0" w:color="auto"/>
              <w:left w:val="single" w:sz="4" w:space="0" w:color="auto"/>
              <w:bottom w:val="single" w:sz="4" w:space="0" w:color="auto"/>
              <w:right w:val="single" w:sz="4" w:space="0" w:color="auto"/>
            </w:tcBorders>
            <w:noWrap/>
            <w:hideMark/>
          </w:tcPr>
          <w:p w:rsidR="00C96A5B" w:rsidRDefault="00C96A5B" w:rsidP="00E558D1">
            <w:pPr>
              <w:jc w:val="center"/>
            </w:pPr>
            <w:r>
              <w:t>≥ 0,7</w:t>
            </w:r>
          </w:p>
        </w:tc>
      </w:tr>
    </w:tbl>
    <w:p w:rsidR="00C96A5B" w:rsidRDefault="00C96A5B" w:rsidP="00C96A5B">
      <w:pPr>
        <w:spacing w:before="120"/>
        <w:ind w:left="284" w:hanging="284"/>
      </w:pPr>
      <w:r>
        <w:rPr>
          <w:vertAlign w:val="superscript"/>
        </w:rPr>
        <w:t>*)</w:t>
      </w:r>
      <w:r>
        <w:t xml:space="preserve"> W przypadku przekroczenia wytrzymałości na ściskanie 5 MPa należy stosować rozwiązania przeciwspękaniowe (patrz p.5.7)</w:t>
      </w:r>
    </w:p>
    <w:p w:rsidR="00C96A5B" w:rsidRDefault="00C96A5B" w:rsidP="00C96A5B">
      <w:pPr>
        <w:pStyle w:val="Nagwek2"/>
      </w:pPr>
      <w:r>
        <w:t>5.5. Odcinek próbny</w:t>
      </w:r>
    </w:p>
    <w:p w:rsidR="00C96A5B" w:rsidRDefault="00C96A5B" w:rsidP="00C96A5B">
      <w:r>
        <w:tab/>
        <w:t>Wykonawca powinien wykonać odcinek próbny w celu:</w:t>
      </w:r>
    </w:p>
    <w:p w:rsidR="00C96A5B" w:rsidRDefault="00C96A5B" w:rsidP="00B4292E">
      <w:pPr>
        <w:numPr>
          <w:ilvl w:val="0"/>
          <w:numId w:val="63"/>
        </w:numPr>
        <w:overflowPunct w:val="0"/>
        <w:autoSpaceDE w:val="0"/>
        <w:autoSpaceDN w:val="0"/>
        <w:adjustRightInd w:val="0"/>
        <w:spacing w:after="0" w:line="240" w:lineRule="auto"/>
        <w:jc w:val="both"/>
      </w:pPr>
      <w:r>
        <w:t>stwierdzenia czy sprzęt do produkcji mieszanki oraz jej rozkładania i zagęszczania jest właściwy,</w:t>
      </w:r>
    </w:p>
    <w:p w:rsidR="00C96A5B" w:rsidRDefault="00C96A5B" w:rsidP="00B4292E">
      <w:pPr>
        <w:numPr>
          <w:ilvl w:val="0"/>
          <w:numId w:val="63"/>
        </w:numPr>
        <w:overflowPunct w:val="0"/>
        <w:autoSpaceDE w:val="0"/>
        <w:autoSpaceDN w:val="0"/>
        <w:adjustRightInd w:val="0"/>
        <w:spacing w:after="0" w:line="240" w:lineRule="auto"/>
        <w:jc w:val="both"/>
      </w:pPr>
      <w:r>
        <w:t>określenia grubości warstwy wbudowanej mieszanki przed zagęszczeniem, koniecznej do uzyskania wymaganej grubości warstwy zagęszczonej,</w:t>
      </w:r>
    </w:p>
    <w:p w:rsidR="00C96A5B" w:rsidRDefault="00C96A5B" w:rsidP="00B4292E">
      <w:pPr>
        <w:numPr>
          <w:ilvl w:val="0"/>
          <w:numId w:val="63"/>
        </w:numPr>
        <w:overflowPunct w:val="0"/>
        <w:autoSpaceDE w:val="0"/>
        <w:autoSpaceDN w:val="0"/>
        <w:adjustRightInd w:val="0"/>
        <w:spacing w:after="0" w:line="240" w:lineRule="auto"/>
        <w:jc w:val="both"/>
      </w:pPr>
      <w:r>
        <w:t>określenia liczby przejść walców do uzyskania wymaganego wskaźnika zagęszczenia warstwy.</w:t>
      </w:r>
    </w:p>
    <w:p w:rsidR="00C96A5B" w:rsidRDefault="00C96A5B" w:rsidP="00C96A5B">
      <w:pPr>
        <w:ind w:firstLine="709"/>
      </w:pPr>
      <w:r>
        <w:t>Na odcinku próbnym Wykonawca powinien użyć materiałów oraz sprzętu takich, jakie będą stosowane do wykonania podbudowy lub podłoża ulepszonego.</w:t>
      </w:r>
    </w:p>
    <w:p w:rsidR="00C96A5B" w:rsidRDefault="00C96A5B" w:rsidP="00C96A5B">
      <w:pPr>
        <w:ind w:firstLine="709"/>
      </w:pPr>
      <w:r>
        <w:lastRenderedPageBreak/>
        <w:t xml:space="preserve">Powierzchnia odcinka próbnego powinna wynosić od </w:t>
      </w:r>
      <w:smartTag w:uri="urn:schemas-microsoft-com:office:smarttags" w:element="metricconverter">
        <w:smartTagPr>
          <w:attr w:name="productid" w:val="400 m2"/>
        </w:smartTagPr>
        <w:r>
          <w:t>400 m</w:t>
        </w:r>
        <w:r>
          <w:rPr>
            <w:vertAlign w:val="superscript"/>
          </w:rPr>
          <w:t>2</w:t>
        </w:r>
      </w:smartTag>
      <w:r>
        <w:t xml:space="preserve"> do </w:t>
      </w:r>
      <w:smartTag w:uri="urn:schemas-microsoft-com:office:smarttags" w:element="metricconverter">
        <w:smartTagPr>
          <w:attr w:name="productid" w:val="800 m2"/>
        </w:smartTagPr>
        <w:r>
          <w:t>800 m</w:t>
        </w:r>
        <w:r>
          <w:rPr>
            <w:vertAlign w:val="superscript"/>
          </w:rPr>
          <w:t>2</w:t>
        </w:r>
      </w:smartTag>
      <w:r>
        <w:t xml:space="preserve">, a długość nie powinna być mniejsza niż </w:t>
      </w:r>
      <w:smartTag w:uri="urn:schemas-microsoft-com:office:smarttags" w:element="metricconverter">
        <w:smartTagPr>
          <w:attr w:name="productid" w:val="200 m"/>
        </w:smartTagPr>
        <w:r>
          <w:t>200 m</w:t>
        </w:r>
      </w:smartTag>
      <w:r>
        <w:t>.</w:t>
      </w:r>
    </w:p>
    <w:p w:rsidR="00C96A5B" w:rsidRDefault="00C96A5B" w:rsidP="00C96A5B">
      <w:pPr>
        <w:ind w:firstLine="709"/>
      </w:pPr>
      <w:r>
        <w:t>Odcinek próbny powinien być zlokalizowany w miejscu wskazanym przez Inżyniera.</w:t>
      </w:r>
    </w:p>
    <w:p w:rsidR="00C96A5B" w:rsidRDefault="00C96A5B" w:rsidP="00C96A5B">
      <w:pPr>
        <w:ind w:firstLine="709"/>
      </w:pPr>
      <w:r>
        <w:t>Wykonawca może przystąpić do wykonywania podbudowy lub podłoża ulepszonego po zaakceptowaniu odcinka próbnego przez Inżyniera.</w:t>
      </w:r>
    </w:p>
    <w:p w:rsidR="00C96A5B" w:rsidRDefault="00C96A5B" w:rsidP="00C96A5B">
      <w:pPr>
        <w:pStyle w:val="Nagwek2"/>
      </w:pPr>
      <w:r>
        <w:t>5.6. Warunki przystąpienia do robót i przygotowanie podłoża</w:t>
      </w:r>
    </w:p>
    <w:p w:rsidR="00C96A5B" w:rsidRDefault="00C96A5B" w:rsidP="00C96A5B">
      <w:r>
        <w:tab/>
        <w:t>Podbudowa lub podłoże ulepszone z mieszanek związanych cementem nie powinny być wykonywane, gdy temperatura powietrza jest niższa od +5</w:t>
      </w:r>
      <w:r>
        <w:rPr>
          <w:vertAlign w:val="superscript"/>
        </w:rPr>
        <w:t>o</w:t>
      </w:r>
      <w:r>
        <w:t>C oraz gdy podłoże jest zamarznięte.</w:t>
      </w:r>
    </w:p>
    <w:p w:rsidR="00C96A5B" w:rsidRDefault="00C96A5B" w:rsidP="00C96A5B">
      <w:r>
        <w:tab/>
        <w:t>Podłoże pod mieszankę powinno być przygotowane zgodnie z wymaganiami określonymi w dokumentacji projektowej i ST. Zaleca się do korzystania z ustaleń podanych w OST D-04.01.01 „Koryto wraz z profilowaniem i zagęszczeniem podłoża” [4] i OST D-02.00.00 „Roboty ziemne” [3].</w:t>
      </w:r>
    </w:p>
    <w:p w:rsidR="00C96A5B" w:rsidRDefault="00C96A5B" w:rsidP="00C96A5B">
      <w:r>
        <w:tab/>
        <w:t>Jeśli warstwa mieszanki kruszywa ma być układana w prowadnicach, to należy je ustawić na podłożu tak aby wyznaczały ściśle linie krawędzi układanej warstwy według dokumentacji projektowej. Wysokość prowadnic powinna odpowiadać grubości warstwy mieszanki kruszywa w stanie niezagęszczonym. Prowadnice powinny być ustawione stabilnie, w sposób wykluczający ich przesuwanie się pod wpływem oddziaływania maszyn użytych do wykonania warstwy. Od użycia prowadnic można odstąpić przy zastosowaniu technologii gwarantującej odpowiednią równość warstwy, po uzyskaniu zgody Inżyniera.</w:t>
      </w:r>
    </w:p>
    <w:p w:rsidR="00C96A5B" w:rsidRDefault="00C96A5B" w:rsidP="00C96A5B">
      <w:pPr>
        <w:pStyle w:val="Nagwek2"/>
      </w:pPr>
      <w:r>
        <w:t>5.7. Wytwarzanie i wbudowanie mieszanki</w:t>
      </w:r>
    </w:p>
    <w:p w:rsidR="00C96A5B" w:rsidRDefault="00C96A5B" w:rsidP="00C96A5B">
      <w:r>
        <w:tab/>
        <w:t>Mieszankę kruszywa związanego cementem o ściśle określonym składzie zawartym w recepcie laboratoryjnej należy wytwarzać w  wytwórniach (mieszarkach) stacjonarnych lub mobilnych zapewniających ciągłość produkcji i gwarantujących otrzymanie jednorodnej mieszanki. Mieszarka powinna być wyposażona w urządzenia do wagowego dozowania kruszywa i cementu oraz objętościowego dozowania wody.</w:t>
      </w:r>
    </w:p>
    <w:p w:rsidR="00C96A5B" w:rsidRDefault="00C96A5B" w:rsidP="00C96A5B">
      <w:r>
        <w:tab/>
        <w:t>Przy produkcji mieszanek należy prowadzić kontrolę produkcji zgodnie z WT-5 [25] część 5.</w:t>
      </w:r>
    </w:p>
    <w:p w:rsidR="00C96A5B" w:rsidRDefault="00C96A5B" w:rsidP="00C96A5B">
      <w:r>
        <w:tab/>
        <w:t>Mieszanka po wyprodukowaniu powinna być od razu transportowana na miejsce wbudowania, w sposób zabezpieczony przed segregacją i nadmiernym wysychaniem.</w:t>
      </w:r>
    </w:p>
    <w:p w:rsidR="00C96A5B" w:rsidRDefault="00C96A5B" w:rsidP="00C96A5B">
      <w:r>
        <w:tab/>
        <w:t xml:space="preserve">Mieszanka dowieziona z wytwórni powinna być układana przy pomocy układarek lub równiarek. Grubość układania mieszanki powinna zapewniać uzyskanie wymaganej grubości warstwy po zagęszczeniu. Warstwę można wykonać o grubości np. </w:t>
      </w:r>
      <w:smartTag w:uri="urn:schemas-microsoft-com:office:smarttags" w:element="metricconverter">
        <w:smartTagPr>
          <w:attr w:name="productid" w:val="20 cm"/>
        </w:smartTagPr>
        <w:r>
          <w:t>20 cm</w:t>
        </w:r>
      </w:smartTag>
      <w:r>
        <w:t xml:space="preserve"> po zagęszczeniu. Gdy wymagana jest większa grubość, to do układania drugiej warstwy można przystąpić po odbiorze pierwszej warstwy przez Inżyniera. Przy układaniu mieszanki za pomocą równiarek konieczne jest stosowanie prowadnic.</w:t>
      </w:r>
    </w:p>
    <w:p w:rsidR="00C96A5B" w:rsidRDefault="00C96A5B" w:rsidP="00C96A5B">
      <w:r>
        <w:tab/>
        <w:t xml:space="preserve">Przed zagęszczeniem warstwa powinna być wyprofilowana do wymaganych rzędnych, spadków podłużnych i poprzecznych. Natychmiast po wyprofilowaniu mieszanki należy rozpocząć jej zagęszczanie, które należy kontynuować do osiągnięcia wskaźnika zagęszczenia nie mniejszego od 0,98 maksymalnego zagęszczenia określonego według normalnej próby Proctora. Zagęszczenie powinno być zakończone przed rozpoczęciem czasu wiązania cementu. Specjalną uwagę należy poświęcić zagęszczeniu mieszanki w sąsiedztwie spoin roboczych podłużnych i poprzecznych oraz wszelkich urządzeń obcych. Zaleca się aby Wykonawca organizował roboty w sposób unikający podłużnych spoin roboczych.  Jeśli jednak w dolnej warstwie podbudowy występują spoiny robocze, </w:t>
      </w:r>
      <w:r>
        <w:lastRenderedPageBreak/>
        <w:t xml:space="preserve">to spoiny w górnej warstwie podbudowy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C96A5B" w:rsidRDefault="00C96A5B" w:rsidP="00C96A5B">
      <w:r>
        <w:tab/>
        <w:t>Jeśli dokumentacja projektowa przewiduje wykonanie szczelin pozornych w podbudowie, to zaleca się je wykonać przez wycięcie szczelin np. grubości 3÷5 mm na głębokość około 1/3 jej grubości w początkowej fazie twardnienia betonu, tak aby powierzchnia podbudowy była podzielona na kwadratowe lub prostokątne płyty.</w:t>
      </w:r>
    </w:p>
    <w:p w:rsidR="00C96A5B" w:rsidRDefault="00C96A5B" w:rsidP="00C96A5B">
      <w:r>
        <w:tab/>
        <w:t>Dla warstwy podbudowy zasadniczej z mieszanki o wytrzymałości na ściskanie R</w:t>
      </w:r>
      <w:r>
        <w:rPr>
          <w:vertAlign w:val="subscript"/>
        </w:rPr>
        <w:t>c</w:t>
      </w:r>
      <w:r>
        <w:t xml:space="preserve"> powyżej 10 MPa należy stosować dylatowanie poprzeczne i podłużne według ustaleń dokumentacji projektowej.</w:t>
      </w:r>
    </w:p>
    <w:p w:rsidR="00C96A5B" w:rsidRDefault="00C96A5B" w:rsidP="00C96A5B">
      <w:r>
        <w:tab/>
        <w:t>Dla warstwy podbudowy zasadniczej z mieszanki o wytrzymałości R</w:t>
      </w:r>
      <w:r>
        <w:rPr>
          <w:vertAlign w:val="subscript"/>
        </w:rPr>
        <w:t>c</w:t>
      </w:r>
      <w:r>
        <w:t xml:space="preserve"> przekraczającej 5 do 10 MPa należy stosować technologie przeciwspękaniowe według ustaleń dokumentacji projektowej, z zastosowaniem geosyntetyków lub membran, odpowiadających wymaganiom norm lub europejskich i krajowych aprobat technicznych.</w:t>
      </w:r>
    </w:p>
    <w:p w:rsidR="00C96A5B" w:rsidRDefault="00C96A5B" w:rsidP="00C96A5B">
      <w:pPr>
        <w:pStyle w:val="Nagwek2"/>
      </w:pPr>
      <w:r>
        <w:t>5.8. Pielęgnacja warstwy kruszywa związanego cementem</w:t>
      </w:r>
    </w:p>
    <w:p w:rsidR="00C96A5B" w:rsidRDefault="00C96A5B" w:rsidP="00C96A5B">
      <w:r>
        <w:tab/>
        <w:t>Warstwa kruszywa związanego cementem powinna być natychmiast po zagęszczeniu poddana pielęgnacji według jednego z następujących sposobów:</w:t>
      </w:r>
    </w:p>
    <w:p w:rsidR="00C96A5B" w:rsidRDefault="00C96A5B" w:rsidP="00B4292E">
      <w:pPr>
        <w:numPr>
          <w:ilvl w:val="0"/>
          <w:numId w:val="64"/>
        </w:numPr>
        <w:overflowPunct w:val="0"/>
        <w:autoSpaceDE w:val="0"/>
        <w:autoSpaceDN w:val="0"/>
        <w:adjustRightInd w:val="0"/>
        <w:spacing w:after="0" w:line="240" w:lineRule="auto"/>
        <w:jc w:val="both"/>
      </w:pPr>
      <w:r>
        <w:t>skropieniem preparatem pielęgnacyjnym, posiadającym aprobatę techniczną,</w:t>
      </w:r>
    </w:p>
    <w:p w:rsidR="00C96A5B" w:rsidRDefault="00C96A5B" w:rsidP="00B4292E">
      <w:pPr>
        <w:numPr>
          <w:ilvl w:val="0"/>
          <w:numId w:val="64"/>
        </w:numPr>
        <w:overflowPunct w:val="0"/>
        <w:autoSpaceDE w:val="0"/>
        <w:autoSpaceDN w:val="0"/>
        <w:adjustRightInd w:val="0"/>
        <w:spacing w:after="0" w:line="240" w:lineRule="auto"/>
        <w:jc w:val="both"/>
      </w:pPr>
      <w:r>
        <w:t xml:space="preserve">przykryciem na okres 7 do 10 dni nieprzepuszczalną folią z tworzywa sztucznego, ułożoną na zakład co najmniej </w:t>
      </w:r>
      <w:smartTag w:uri="urn:schemas-microsoft-com:office:smarttags" w:element="metricconverter">
        <w:smartTagPr>
          <w:attr w:name="productid" w:val="30 cm"/>
        </w:smartTagPr>
        <w:r>
          <w:t>30 cm</w:t>
        </w:r>
      </w:smartTag>
      <w:r>
        <w:t xml:space="preserve"> i zabezpieczoną przed zerwaniem przez wiatr,</w:t>
      </w:r>
    </w:p>
    <w:p w:rsidR="00C96A5B" w:rsidRDefault="00C96A5B" w:rsidP="00B4292E">
      <w:pPr>
        <w:numPr>
          <w:ilvl w:val="0"/>
          <w:numId w:val="64"/>
        </w:numPr>
        <w:overflowPunct w:val="0"/>
        <w:autoSpaceDE w:val="0"/>
        <w:autoSpaceDN w:val="0"/>
        <w:adjustRightInd w:val="0"/>
        <w:spacing w:after="0" w:line="240" w:lineRule="auto"/>
        <w:jc w:val="both"/>
      </w:pPr>
      <w:r>
        <w:t>przykryciem matami lub włókninami i spryskanie wodą przez okres 7÷10 dni,</w:t>
      </w:r>
    </w:p>
    <w:p w:rsidR="00C96A5B" w:rsidRDefault="00C96A5B" w:rsidP="00B4292E">
      <w:pPr>
        <w:numPr>
          <w:ilvl w:val="0"/>
          <w:numId w:val="64"/>
        </w:numPr>
        <w:overflowPunct w:val="0"/>
        <w:autoSpaceDE w:val="0"/>
        <w:autoSpaceDN w:val="0"/>
        <w:adjustRightInd w:val="0"/>
        <w:spacing w:after="0" w:line="240" w:lineRule="auto"/>
        <w:jc w:val="both"/>
      </w:pPr>
      <w:r>
        <w:t>przykryciem warstwą piasku i utrzymanie jej w stanie wilgotnym przez okres 7÷10 dni,</w:t>
      </w:r>
    </w:p>
    <w:p w:rsidR="00C96A5B" w:rsidRDefault="00C96A5B" w:rsidP="00B4292E">
      <w:pPr>
        <w:numPr>
          <w:ilvl w:val="0"/>
          <w:numId w:val="64"/>
        </w:numPr>
        <w:overflowPunct w:val="0"/>
        <w:autoSpaceDE w:val="0"/>
        <w:autoSpaceDN w:val="0"/>
        <w:adjustRightInd w:val="0"/>
        <w:spacing w:after="0" w:line="240" w:lineRule="auto"/>
        <w:jc w:val="both"/>
      </w:pPr>
      <w:r>
        <w:t>innymi środkami zaakceptowanymi przez Inżyniera.</w:t>
      </w:r>
    </w:p>
    <w:p w:rsidR="00C96A5B" w:rsidRDefault="00C96A5B" w:rsidP="00C96A5B">
      <w:pPr>
        <w:ind w:firstLine="709"/>
      </w:pPr>
      <w:r>
        <w:t>Nie należy dopuszczać ruchu pojazdów i maszyn po warstwie kruszywa związanej cementem w okresie od 7 do 10 dni pielęgnacji, a po tym okresie ruch technologiczny może odbywać się wyłącznie za zgodą Inżyniera.</w:t>
      </w:r>
    </w:p>
    <w:p w:rsidR="00C96A5B" w:rsidRDefault="00C96A5B" w:rsidP="00C96A5B">
      <w:pPr>
        <w:pStyle w:val="Nagwek2"/>
      </w:pPr>
      <w:r>
        <w:t>5.9. Roboty wykończeniowe</w:t>
      </w:r>
    </w:p>
    <w:p w:rsidR="00C96A5B" w:rsidRDefault="00C96A5B" w:rsidP="00C96A5B">
      <w:pPr>
        <w:ind w:firstLine="709"/>
      </w:pPr>
      <w:r>
        <w:t>Roboty wykończeniowe, zgodne z dokumentacją projektową, ST, dokumentacją wiaty i wskazaniami Inżyniera dotyczą prac związanych z dostosowaniem wykonanych  robót do istniejących warunków terenowych, takie jak:</w:t>
      </w:r>
    </w:p>
    <w:p w:rsidR="00C96A5B" w:rsidRDefault="00C96A5B" w:rsidP="00B4292E">
      <w:pPr>
        <w:numPr>
          <w:ilvl w:val="0"/>
          <w:numId w:val="65"/>
        </w:numPr>
        <w:tabs>
          <w:tab w:val="num" w:pos="284"/>
        </w:tabs>
        <w:overflowPunct w:val="0"/>
        <w:autoSpaceDE w:val="0"/>
        <w:autoSpaceDN w:val="0"/>
        <w:adjustRightInd w:val="0"/>
        <w:spacing w:after="0" w:line="240" w:lineRule="auto"/>
        <w:ind w:left="284" w:hanging="284"/>
        <w:jc w:val="both"/>
      </w:pPr>
      <w:r>
        <w:t>odtworzenie przeszkód czasowo usuniętych,</w:t>
      </w:r>
    </w:p>
    <w:p w:rsidR="00C96A5B" w:rsidRDefault="00C96A5B" w:rsidP="00B4292E">
      <w:pPr>
        <w:numPr>
          <w:ilvl w:val="0"/>
          <w:numId w:val="66"/>
        </w:numPr>
        <w:overflowPunct w:val="0"/>
        <w:autoSpaceDE w:val="0"/>
        <w:autoSpaceDN w:val="0"/>
        <w:adjustRightInd w:val="0"/>
        <w:spacing w:after="0" w:line="240" w:lineRule="auto"/>
        <w:jc w:val="both"/>
      </w:pPr>
      <w:r>
        <w:t>uzupełnienie zniszczonych w czasie robót istniejących elementów drogowych lub terenowych,</w:t>
      </w:r>
    </w:p>
    <w:p w:rsidR="00C96A5B" w:rsidRDefault="00C96A5B" w:rsidP="00C96A5B">
      <w:pPr>
        <w:numPr>
          <w:ilvl w:val="0"/>
          <w:numId w:val="5"/>
        </w:numPr>
        <w:overflowPunct w:val="0"/>
        <w:autoSpaceDE w:val="0"/>
        <w:autoSpaceDN w:val="0"/>
        <w:adjustRightInd w:val="0"/>
        <w:spacing w:after="0" w:line="240" w:lineRule="auto"/>
        <w:jc w:val="both"/>
      </w:pPr>
      <w:r>
        <w:t>roboty porządkujące otoczenie terenu robót,</w:t>
      </w:r>
    </w:p>
    <w:p w:rsidR="00C96A5B" w:rsidRDefault="00C96A5B" w:rsidP="00C96A5B">
      <w:pPr>
        <w:numPr>
          <w:ilvl w:val="0"/>
          <w:numId w:val="5"/>
        </w:numPr>
        <w:overflowPunct w:val="0"/>
        <w:autoSpaceDE w:val="0"/>
        <w:autoSpaceDN w:val="0"/>
        <w:adjustRightInd w:val="0"/>
        <w:spacing w:after="0" w:line="240" w:lineRule="auto"/>
        <w:jc w:val="both"/>
      </w:pPr>
      <w:r>
        <w:t>usunięcie oznakowania drogi wprowadzonego na okres robót.</w:t>
      </w:r>
    </w:p>
    <w:p w:rsidR="00C96A5B" w:rsidRDefault="00C96A5B" w:rsidP="00C96A5B">
      <w:pPr>
        <w:pStyle w:val="Nagwek1"/>
      </w:pPr>
      <w:bookmarkStart w:id="581" w:name="_Toc421940501"/>
      <w:bookmarkStart w:id="582" w:name="_Toc24955913"/>
      <w:bookmarkStart w:id="583" w:name="_Toc25128887"/>
      <w:bookmarkStart w:id="584" w:name="_Toc25373385"/>
      <w:bookmarkStart w:id="585" w:name="_Toc25379401"/>
      <w:bookmarkStart w:id="586" w:name="_Toc174333138"/>
      <w:bookmarkStart w:id="587" w:name="_Toc179183771"/>
      <w:bookmarkStart w:id="588" w:name="_Toc198436140"/>
      <w:bookmarkStart w:id="589" w:name="_Toc199904824"/>
      <w:bookmarkStart w:id="590" w:name="_Toc216843088"/>
      <w:bookmarkStart w:id="591" w:name="_Toc257193991"/>
      <w:bookmarkStart w:id="592" w:name="_Toc284409958"/>
      <w:bookmarkStart w:id="593" w:name="_Toc295205110"/>
      <w:bookmarkStart w:id="594" w:name="_Toc332010316"/>
      <w:r>
        <w:t xml:space="preserve">6. </w:t>
      </w:r>
      <w:bookmarkEnd w:id="581"/>
      <w:bookmarkEnd w:id="582"/>
      <w:bookmarkEnd w:id="583"/>
      <w:bookmarkEnd w:id="584"/>
      <w:bookmarkEnd w:id="585"/>
      <w:bookmarkEnd w:id="586"/>
      <w:bookmarkEnd w:id="587"/>
      <w:bookmarkEnd w:id="588"/>
      <w:bookmarkEnd w:id="589"/>
      <w:bookmarkEnd w:id="590"/>
      <w:bookmarkEnd w:id="591"/>
      <w:bookmarkEnd w:id="592"/>
      <w:bookmarkEnd w:id="593"/>
      <w:r>
        <w:t>KONTROLA JAKOŚCI ROBÓT</w:t>
      </w:r>
      <w:bookmarkEnd w:id="594"/>
    </w:p>
    <w:p w:rsidR="00C96A5B" w:rsidRDefault="00C96A5B" w:rsidP="00C96A5B">
      <w:pPr>
        <w:pStyle w:val="Nagwek2"/>
        <w:numPr>
          <w:ilvl w:val="12"/>
          <w:numId w:val="0"/>
        </w:numPr>
      </w:pPr>
      <w:r>
        <w:t>6.1. Ogólne zasady kontroli jakości robót</w:t>
      </w:r>
    </w:p>
    <w:p w:rsidR="00C96A5B" w:rsidRDefault="00C96A5B" w:rsidP="00C96A5B">
      <w:pPr>
        <w:numPr>
          <w:ilvl w:val="12"/>
          <w:numId w:val="0"/>
        </w:numPr>
      </w:pPr>
      <w:r>
        <w:tab/>
        <w:t>Ogólne zasady kontroli jakości robót podano w OST   D-M-00.00.00 „Wymagania ogólne” [1] pkt 6.</w:t>
      </w:r>
    </w:p>
    <w:p w:rsidR="00C96A5B" w:rsidRDefault="00C96A5B" w:rsidP="00C96A5B">
      <w:pPr>
        <w:pStyle w:val="Nagwek2"/>
        <w:numPr>
          <w:ilvl w:val="12"/>
          <w:numId w:val="0"/>
        </w:numPr>
      </w:pPr>
      <w:r>
        <w:t>6.2. Badania przed przystąpieniem do robót</w:t>
      </w:r>
    </w:p>
    <w:p w:rsidR="00C96A5B" w:rsidRDefault="00C96A5B" w:rsidP="00C96A5B">
      <w:pPr>
        <w:numPr>
          <w:ilvl w:val="12"/>
          <w:numId w:val="0"/>
        </w:numPr>
      </w:pPr>
      <w:r>
        <w:tab/>
        <w:t>Przed przystąpieniem do robót Wykonawca powinien:</w:t>
      </w:r>
    </w:p>
    <w:p w:rsidR="00C96A5B" w:rsidRDefault="00C96A5B" w:rsidP="00C96A5B">
      <w:pPr>
        <w:numPr>
          <w:ilvl w:val="0"/>
          <w:numId w:val="5"/>
        </w:numPr>
        <w:overflowPunct w:val="0"/>
        <w:autoSpaceDE w:val="0"/>
        <w:autoSpaceDN w:val="0"/>
        <w:adjustRightInd w:val="0"/>
        <w:spacing w:after="0" w:line="240" w:lineRule="auto"/>
        <w:jc w:val="both"/>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96A5B" w:rsidRDefault="00C96A5B" w:rsidP="00C96A5B">
      <w:pPr>
        <w:numPr>
          <w:ilvl w:val="0"/>
          <w:numId w:val="5"/>
        </w:numPr>
        <w:overflowPunct w:val="0"/>
        <w:autoSpaceDE w:val="0"/>
        <w:autoSpaceDN w:val="0"/>
        <w:adjustRightInd w:val="0"/>
        <w:spacing w:after="0" w:line="240" w:lineRule="auto"/>
        <w:jc w:val="both"/>
      </w:pPr>
      <w:r>
        <w:lastRenderedPageBreak/>
        <w:t>ew. wykonać własne badania właściwości materiałów przeznaczonych do wykonania robót, określone przez Inżyniera.</w:t>
      </w:r>
    </w:p>
    <w:p w:rsidR="00C96A5B" w:rsidRDefault="00C96A5B" w:rsidP="00C96A5B">
      <w:r>
        <w:tab/>
        <w:t>Wszystkie dokumenty oraz wyniki badań Wykonawca przedstawia Inżynierowi do akceptacji.</w:t>
      </w:r>
    </w:p>
    <w:p w:rsidR="00C96A5B" w:rsidRDefault="00C96A5B" w:rsidP="00C96A5B">
      <w:pPr>
        <w:pStyle w:val="Nagwek2"/>
        <w:numPr>
          <w:ilvl w:val="12"/>
          <w:numId w:val="0"/>
        </w:numPr>
      </w:pPr>
      <w:r>
        <w:t>6.3. Badania w czasie robót</w:t>
      </w:r>
    </w:p>
    <w:p w:rsidR="00C96A5B" w:rsidRDefault="00C96A5B" w:rsidP="00C96A5B">
      <w:pPr>
        <w:numPr>
          <w:ilvl w:val="12"/>
          <w:numId w:val="0"/>
        </w:numPr>
      </w:pPr>
      <w:r>
        <w:tab/>
        <w:t xml:space="preserve">Częstotliwość oraz zakres badań i pomiarów, które należy wykonać w czasie robót podaje tablica 6. </w:t>
      </w:r>
    </w:p>
    <w:p w:rsidR="00C96A5B" w:rsidRDefault="00C96A5B" w:rsidP="00C96A5B">
      <w:pPr>
        <w:numPr>
          <w:ilvl w:val="12"/>
          <w:numId w:val="0"/>
        </w:numPr>
        <w:spacing w:before="120" w:after="120"/>
      </w:pPr>
      <w:r>
        <w:t>Tablica 6.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118"/>
        <w:gridCol w:w="1907"/>
        <w:gridCol w:w="2062"/>
      </w:tblGrid>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numPr>
                <w:ilvl w:val="12"/>
                <w:numId w:val="0"/>
              </w:numPr>
              <w:spacing w:before="180" w:after="60"/>
              <w:jc w:val="center"/>
            </w:pPr>
            <w:r>
              <w:t>Lp.</w:t>
            </w:r>
          </w:p>
        </w:tc>
        <w:tc>
          <w:tcPr>
            <w:tcW w:w="3118"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numPr>
                <w:ilvl w:val="12"/>
                <w:numId w:val="0"/>
              </w:numPr>
              <w:spacing w:before="180" w:after="60"/>
              <w:jc w:val="center"/>
            </w:pPr>
            <w:r>
              <w:t>Wyszczególnienie robót</w:t>
            </w:r>
          </w:p>
        </w:tc>
        <w:tc>
          <w:tcPr>
            <w:tcW w:w="1907"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numPr>
                <w:ilvl w:val="12"/>
                <w:numId w:val="0"/>
              </w:numPr>
              <w:spacing w:before="60" w:after="60"/>
              <w:jc w:val="center"/>
            </w:pPr>
            <w:r>
              <w:t>Częstotliwość badań</w:t>
            </w:r>
          </w:p>
        </w:tc>
        <w:tc>
          <w:tcPr>
            <w:tcW w:w="206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numPr>
                <w:ilvl w:val="12"/>
                <w:numId w:val="0"/>
              </w:numPr>
              <w:spacing w:before="180" w:after="60"/>
              <w:jc w:val="center"/>
            </w:pPr>
            <w:r>
              <w:t>Wartości dopuszczalne</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jc w:val="center"/>
            </w:pPr>
            <w:r>
              <w:t>1</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pPr>
            <w:r>
              <w:t>Lokalizacja i zgodność granic terenu robót z dokumentacją projektową</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jc w:val="center"/>
            </w:pPr>
            <w:r>
              <w:t>1 raz</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jc w:val="center"/>
            </w:pPr>
            <w:r>
              <w:t xml:space="preserve">Wg pktu 5 </w:t>
            </w:r>
          </w:p>
          <w:p w:rsidR="00C96A5B" w:rsidRDefault="00C96A5B" w:rsidP="00E558D1">
            <w:pPr>
              <w:numPr>
                <w:ilvl w:val="12"/>
                <w:numId w:val="0"/>
              </w:numPr>
              <w:jc w:val="center"/>
            </w:pPr>
            <w:r>
              <w:t xml:space="preserve">i dokumentacji projektowej </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2</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Roboty przygotowawcze</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Ocena ciągła</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Wg pktu 5.3</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3</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Właściwości kruszywa</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Dla każdej partii kruszywa i przy każdej zmianie kruszywa</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Tablica 1</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jc w:val="center"/>
            </w:pPr>
            <w:r>
              <w:t>4</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pPr>
            <w:r>
              <w:t>Właściwości wody</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jc w:val="center"/>
            </w:pPr>
            <w:r>
              <w:t>Dla każdego wątpliwego źródła</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jc w:val="center"/>
            </w:pPr>
            <w:r>
              <w:t>PN-EN 1008 [11]</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5</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Właściwości cementu</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Dla każdej partii</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PN-EN 197-1 [5]</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6</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Uziarnienie mieszanki</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2 razy dziennie</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Rys. 1 ÷ 5</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7</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Wilgotność mieszanki</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Jw.</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Wilgotność optymalna z tolerancją +10%, -20%</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8</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Grubość warstwy podbudowy</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Jw.</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 xml:space="preserve">Tolerancja ± </w:t>
            </w:r>
            <w:smartTag w:uri="urn:schemas-microsoft-com:office:smarttags" w:element="metricconverter">
              <w:smartTagPr>
                <w:attr w:name="productid" w:val="1 cm"/>
              </w:smartTagPr>
              <w:r>
                <w:t>1 cm</w:t>
              </w:r>
            </w:smartTag>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9</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Zagęszczenie warstwy mieszanki</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Jw.</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0,98 Proctora (p. 5.7)</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10</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Oznaczenie wytrzymałości na ściskanie</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3 próbki dziennie</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PN-EN 13286-41 [21]</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11</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Oznaczenie mrozoodporności</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Na zlecenie Inżyniera</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p. 5.4</w:t>
            </w:r>
          </w:p>
        </w:tc>
      </w:tr>
      <w:tr w:rsidR="00C96A5B" w:rsidTr="00E558D1">
        <w:tc>
          <w:tcPr>
            <w:tcW w:w="496"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12</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pPr>
            <w:r>
              <w:t>Wykonanie robót wykończeniowych</w:t>
            </w:r>
          </w:p>
        </w:tc>
        <w:tc>
          <w:tcPr>
            <w:tcW w:w="1907"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Ocena ciągła</w:t>
            </w:r>
          </w:p>
        </w:tc>
        <w:tc>
          <w:tcPr>
            <w:tcW w:w="2062" w:type="dxa"/>
            <w:tcBorders>
              <w:top w:val="single" w:sz="6" w:space="0" w:color="auto"/>
              <w:left w:val="single" w:sz="6" w:space="0" w:color="auto"/>
              <w:bottom w:val="single" w:sz="6" w:space="0" w:color="auto"/>
              <w:right w:val="single" w:sz="6" w:space="0" w:color="auto"/>
            </w:tcBorders>
            <w:noWrap/>
            <w:vAlign w:val="center"/>
            <w:hideMark/>
          </w:tcPr>
          <w:p w:rsidR="00C96A5B" w:rsidRDefault="00C96A5B" w:rsidP="00E558D1">
            <w:pPr>
              <w:numPr>
                <w:ilvl w:val="12"/>
                <w:numId w:val="0"/>
              </w:numPr>
              <w:spacing w:before="60" w:after="60"/>
              <w:jc w:val="center"/>
            </w:pPr>
            <w:r>
              <w:t>Według punktu 5.9</w:t>
            </w:r>
          </w:p>
        </w:tc>
      </w:tr>
    </w:tbl>
    <w:p w:rsidR="00C96A5B" w:rsidRDefault="00C96A5B" w:rsidP="00C96A5B">
      <w:pPr>
        <w:pStyle w:val="Nagwek2"/>
        <w:ind w:left="426" w:hanging="426"/>
      </w:pPr>
      <w:bookmarkStart w:id="595" w:name="_Toc421940502"/>
      <w:bookmarkStart w:id="596" w:name="_Toc24955914"/>
      <w:bookmarkStart w:id="597" w:name="_Toc25128888"/>
      <w:bookmarkStart w:id="598" w:name="_Toc25373386"/>
      <w:bookmarkStart w:id="599" w:name="_Toc25379402"/>
      <w:bookmarkStart w:id="600" w:name="_Toc174333139"/>
      <w:bookmarkStart w:id="601" w:name="_Toc179183772"/>
      <w:bookmarkStart w:id="602" w:name="_Toc198436141"/>
      <w:bookmarkStart w:id="603" w:name="_Toc199904825"/>
      <w:bookmarkStart w:id="604" w:name="_Toc216843089"/>
      <w:bookmarkStart w:id="605" w:name="_Toc257193992"/>
      <w:bookmarkStart w:id="606" w:name="_Toc284409959"/>
      <w:bookmarkStart w:id="607" w:name="_Toc295205111"/>
      <w:r>
        <w:t>6.4. Wymagania dotyczące cech geometrycznych i wytrzymałościowych podbudowy lub ulepszonego podłoża</w:t>
      </w:r>
    </w:p>
    <w:p w:rsidR="00C96A5B" w:rsidRDefault="00C96A5B" w:rsidP="00C96A5B">
      <w:pPr>
        <w:ind w:firstLine="709"/>
      </w:pPr>
      <w:r>
        <w:t>Częstotliwość oraz zakres badań i pomiarów dotyczących cech geometrycznych podaje tablica 7.</w:t>
      </w:r>
    </w:p>
    <w:p w:rsidR="00C96A5B" w:rsidRDefault="00C96A5B" w:rsidP="00C96A5B">
      <w:pPr>
        <w:keepNext/>
        <w:spacing w:before="60" w:after="120"/>
      </w:pPr>
      <w:r>
        <w:lastRenderedPageBreak/>
        <w:t>Tablica 7. Częstotliwość oraz zakres badań i pomiarów warstwy odsączającej i odcinającej</w:t>
      </w:r>
    </w:p>
    <w:tbl>
      <w:tblPr>
        <w:tblW w:w="78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2246"/>
        <w:gridCol w:w="2392"/>
        <w:gridCol w:w="2835"/>
      </w:tblGrid>
      <w:tr w:rsidR="00C96A5B" w:rsidTr="00E558D1">
        <w:tc>
          <w:tcPr>
            <w:tcW w:w="496" w:type="dxa"/>
            <w:tcBorders>
              <w:top w:val="single" w:sz="4" w:space="0" w:color="auto"/>
              <w:left w:val="single" w:sz="4" w:space="0" w:color="auto"/>
              <w:bottom w:val="single" w:sz="4" w:space="0" w:color="auto"/>
              <w:right w:val="single" w:sz="6" w:space="0" w:color="auto"/>
            </w:tcBorders>
            <w:noWrap/>
            <w:hideMark/>
          </w:tcPr>
          <w:p w:rsidR="00C96A5B" w:rsidRDefault="00C96A5B" w:rsidP="00E558D1">
            <w:pPr>
              <w:spacing w:before="120"/>
              <w:jc w:val="center"/>
            </w:pPr>
            <w:r>
              <w:t>Lp.</w:t>
            </w:r>
          </w:p>
        </w:tc>
        <w:tc>
          <w:tcPr>
            <w:tcW w:w="2144" w:type="dxa"/>
            <w:tcBorders>
              <w:top w:val="single" w:sz="4" w:space="0" w:color="auto"/>
              <w:left w:val="single" w:sz="6" w:space="0" w:color="auto"/>
              <w:bottom w:val="single" w:sz="4" w:space="0" w:color="auto"/>
              <w:right w:val="single" w:sz="4" w:space="0" w:color="auto"/>
            </w:tcBorders>
            <w:noWrap/>
            <w:hideMark/>
          </w:tcPr>
          <w:p w:rsidR="00C96A5B" w:rsidRDefault="00C96A5B" w:rsidP="00E558D1">
            <w:pPr>
              <w:ind w:left="215" w:right="312"/>
              <w:jc w:val="center"/>
            </w:pPr>
            <w:r>
              <w:t>Wyszczególnienie badań i pomiarów</w:t>
            </w:r>
          </w:p>
        </w:tc>
        <w:tc>
          <w:tcPr>
            <w:tcW w:w="2392" w:type="dxa"/>
            <w:tcBorders>
              <w:top w:val="single" w:sz="6" w:space="0" w:color="auto"/>
              <w:left w:val="single" w:sz="4" w:space="0" w:color="auto"/>
              <w:bottom w:val="single" w:sz="6" w:space="0" w:color="auto"/>
              <w:right w:val="single" w:sz="6" w:space="0" w:color="auto"/>
            </w:tcBorders>
            <w:noWrap/>
            <w:hideMark/>
          </w:tcPr>
          <w:p w:rsidR="00C96A5B" w:rsidRDefault="00C96A5B" w:rsidP="00E558D1">
            <w:pPr>
              <w:jc w:val="center"/>
            </w:pPr>
            <w:r>
              <w:t>Minimalna częstotliwość badań i pomiarów</w:t>
            </w:r>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spacing w:before="120"/>
              <w:jc w:val="center"/>
            </w:pPr>
            <w:r>
              <w:t>Dopuszczalne odchyłki</w:t>
            </w:r>
          </w:p>
        </w:tc>
      </w:tr>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1</w:t>
            </w:r>
          </w:p>
        </w:tc>
        <w:tc>
          <w:tcPr>
            <w:tcW w:w="2144"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 xml:space="preserve">Szerokość </w:t>
            </w:r>
          </w:p>
        </w:tc>
        <w:tc>
          <w:tcPr>
            <w:tcW w:w="239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 xml:space="preserve">10 razy na </w:t>
            </w:r>
            <w:smartTag w:uri="urn:schemas-microsoft-com:office:smarttags" w:element="metricconverter">
              <w:smartTagPr>
                <w:attr w:name="productid" w:val="1 km"/>
              </w:smartTagPr>
              <w:r>
                <w:t>1 km</w:t>
              </w:r>
            </w:smartTag>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w:t>
            </w:r>
            <w:smartTag w:uri="urn:schemas-microsoft-com:office:smarttags" w:element="metricconverter">
              <w:smartTagPr>
                <w:attr w:name="productid" w:val="10 cm"/>
              </w:smartTagPr>
              <w:r>
                <w:t>10 cm</w:t>
              </w:r>
            </w:smartTag>
            <w:r>
              <w:t>, -5 cm: różnice od szerokości projektowanej</w:t>
            </w:r>
          </w:p>
        </w:tc>
      </w:tr>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2</w:t>
            </w:r>
          </w:p>
        </w:tc>
        <w:tc>
          <w:tcPr>
            <w:tcW w:w="2144"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Równość podłużna</w:t>
            </w:r>
          </w:p>
        </w:tc>
        <w:tc>
          <w:tcPr>
            <w:tcW w:w="239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wg [26]</w:t>
            </w:r>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wg [26]</w:t>
            </w:r>
          </w:p>
        </w:tc>
      </w:tr>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3</w:t>
            </w:r>
          </w:p>
        </w:tc>
        <w:tc>
          <w:tcPr>
            <w:tcW w:w="2144"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Równość poprzeczna</w:t>
            </w:r>
          </w:p>
        </w:tc>
        <w:tc>
          <w:tcPr>
            <w:tcW w:w="239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wg [26]</w:t>
            </w:r>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wg [26]</w:t>
            </w:r>
          </w:p>
        </w:tc>
      </w:tr>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4</w:t>
            </w:r>
          </w:p>
        </w:tc>
        <w:tc>
          <w:tcPr>
            <w:tcW w:w="2144"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 xml:space="preserve">Spadki poprzeczne </w:t>
            </w:r>
            <w:r>
              <w:rPr>
                <w:vertAlign w:val="superscript"/>
              </w:rPr>
              <w:t>*)</w:t>
            </w:r>
          </w:p>
        </w:tc>
        <w:tc>
          <w:tcPr>
            <w:tcW w:w="239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 xml:space="preserve">10 razy na </w:t>
            </w:r>
            <w:smartTag w:uri="urn:schemas-microsoft-com:office:smarttags" w:element="metricconverter">
              <w:smartTagPr>
                <w:attr w:name="productid" w:val="1 km"/>
              </w:smartTagPr>
              <w:r>
                <w:t>1 km</w:t>
              </w:r>
            </w:smartTag>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 0,5% dopuszczalna tolerancja od dokumentacji projektowej</w:t>
            </w:r>
          </w:p>
        </w:tc>
      </w:tr>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5</w:t>
            </w:r>
          </w:p>
        </w:tc>
        <w:tc>
          <w:tcPr>
            <w:tcW w:w="2144"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Rzędne wysokościowe</w:t>
            </w:r>
          </w:p>
        </w:tc>
        <w:tc>
          <w:tcPr>
            <w:tcW w:w="239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wg [26]</w:t>
            </w:r>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wg [26]</w:t>
            </w:r>
          </w:p>
        </w:tc>
      </w:tr>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6</w:t>
            </w:r>
          </w:p>
        </w:tc>
        <w:tc>
          <w:tcPr>
            <w:tcW w:w="2144"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 xml:space="preserve">Ukształtowanie osi w planie </w:t>
            </w:r>
            <w:r>
              <w:rPr>
                <w:vertAlign w:val="superscript"/>
              </w:rPr>
              <w:t>*)</w:t>
            </w:r>
          </w:p>
        </w:tc>
        <w:tc>
          <w:tcPr>
            <w:tcW w:w="239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 xml:space="preserve">co </w:t>
            </w:r>
            <w:smartTag w:uri="urn:schemas-microsoft-com:office:smarttags" w:element="metricconverter">
              <w:smartTagPr>
                <w:attr w:name="productid" w:val="100 m"/>
              </w:smartTagPr>
              <w:r>
                <w:t>100 m</w:t>
              </w:r>
            </w:smartTag>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 xml:space="preserve">Przesunięcie od osi projektowanej ± </w:t>
            </w:r>
            <w:smartTag w:uri="urn:schemas-microsoft-com:office:smarttags" w:element="metricconverter">
              <w:smartTagPr>
                <w:attr w:name="productid" w:val="5 cm"/>
              </w:smartTagPr>
              <w:r>
                <w:t>5 cm</w:t>
              </w:r>
            </w:smartTag>
          </w:p>
        </w:tc>
      </w:tr>
      <w:tr w:rsidR="00C96A5B" w:rsidTr="00E558D1">
        <w:tc>
          <w:tcPr>
            <w:tcW w:w="496"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7</w:t>
            </w:r>
          </w:p>
        </w:tc>
        <w:tc>
          <w:tcPr>
            <w:tcW w:w="2144"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 xml:space="preserve">Grubość podbudowy </w:t>
            </w:r>
          </w:p>
          <w:p w:rsidR="00C96A5B" w:rsidRDefault="00C96A5B" w:rsidP="00E558D1">
            <w:r>
              <w:t>i ulepszonego podłoża</w:t>
            </w:r>
          </w:p>
        </w:tc>
        <w:tc>
          <w:tcPr>
            <w:tcW w:w="2392" w:type="dxa"/>
            <w:tcBorders>
              <w:top w:val="single" w:sz="6" w:space="0" w:color="auto"/>
              <w:left w:val="single" w:sz="6" w:space="0" w:color="auto"/>
              <w:bottom w:val="single" w:sz="6" w:space="0" w:color="auto"/>
              <w:right w:val="single" w:sz="6" w:space="0" w:color="auto"/>
            </w:tcBorders>
            <w:noWrap/>
            <w:hideMark/>
          </w:tcPr>
          <w:p w:rsidR="00C96A5B" w:rsidRDefault="00C96A5B" w:rsidP="00E558D1">
            <w:pPr>
              <w:jc w:val="center"/>
            </w:pPr>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c>
          <w:tcPr>
            <w:tcW w:w="2835" w:type="dxa"/>
            <w:tcBorders>
              <w:top w:val="single" w:sz="6" w:space="0" w:color="auto"/>
              <w:left w:val="single" w:sz="6" w:space="0" w:color="auto"/>
              <w:bottom w:val="single" w:sz="6" w:space="0" w:color="auto"/>
              <w:right w:val="single" w:sz="6" w:space="0" w:color="auto"/>
            </w:tcBorders>
            <w:noWrap/>
            <w:hideMark/>
          </w:tcPr>
          <w:p w:rsidR="00C96A5B" w:rsidRDefault="00C96A5B" w:rsidP="00E558D1">
            <w:r>
              <w:t>Różnice od grubości projekto-wanej dla:</w:t>
            </w:r>
          </w:p>
          <w:p w:rsidR="00C96A5B" w:rsidRDefault="00C96A5B" w:rsidP="00B4292E">
            <w:pPr>
              <w:numPr>
                <w:ilvl w:val="0"/>
                <w:numId w:val="67"/>
              </w:numPr>
              <w:overflowPunct w:val="0"/>
              <w:autoSpaceDE w:val="0"/>
              <w:autoSpaceDN w:val="0"/>
              <w:adjustRightInd w:val="0"/>
              <w:spacing w:after="0" w:line="240" w:lineRule="auto"/>
            </w:pPr>
            <w:r>
              <w:t>podbudowy zasadniczej ±10%</w:t>
            </w:r>
          </w:p>
          <w:p w:rsidR="00C96A5B" w:rsidRDefault="00C96A5B" w:rsidP="00B4292E">
            <w:pPr>
              <w:numPr>
                <w:ilvl w:val="0"/>
                <w:numId w:val="67"/>
              </w:numPr>
              <w:overflowPunct w:val="0"/>
              <w:autoSpaceDE w:val="0"/>
              <w:autoSpaceDN w:val="0"/>
              <w:adjustRightInd w:val="0"/>
              <w:spacing w:after="0" w:line="240" w:lineRule="auto"/>
            </w:pPr>
            <w:r>
              <w:t>podbudowy pomocniczej        i podłoża ulepszonego +10%, -15%</w:t>
            </w:r>
          </w:p>
        </w:tc>
      </w:tr>
    </w:tbl>
    <w:p w:rsidR="00C96A5B" w:rsidRDefault="00C96A5B" w:rsidP="00C96A5B">
      <w:pPr>
        <w:spacing w:before="120"/>
      </w:pPr>
      <w:r>
        <w:t>*) Dodatkowe pomiary spadków poprzecznych i ukształtowania osi w planie należy wykonać w punktach głównych łuków poziomych.</w:t>
      </w:r>
    </w:p>
    <w:p w:rsidR="00C96A5B" w:rsidRDefault="00C96A5B" w:rsidP="00C96A5B">
      <w:pPr>
        <w:pStyle w:val="Nagwek1"/>
        <w:numPr>
          <w:ilvl w:val="12"/>
          <w:numId w:val="0"/>
        </w:numPr>
      </w:pPr>
      <w:bookmarkStart w:id="608" w:name="_Toc332010317"/>
      <w:r>
        <w:t xml:space="preserve">7. </w:t>
      </w:r>
      <w:bookmarkEnd w:id="595"/>
      <w:bookmarkEnd w:id="596"/>
      <w:bookmarkEnd w:id="597"/>
      <w:bookmarkEnd w:id="598"/>
      <w:bookmarkEnd w:id="599"/>
      <w:bookmarkEnd w:id="600"/>
      <w:bookmarkEnd w:id="601"/>
      <w:bookmarkEnd w:id="602"/>
      <w:bookmarkEnd w:id="603"/>
      <w:bookmarkEnd w:id="604"/>
      <w:bookmarkEnd w:id="605"/>
      <w:bookmarkEnd w:id="606"/>
      <w:bookmarkEnd w:id="607"/>
      <w:r>
        <w:t>OBMIAR ROBOT</w:t>
      </w:r>
      <w:bookmarkEnd w:id="608"/>
    </w:p>
    <w:p w:rsidR="00C96A5B" w:rsidRDefault="00C96A5B" w:rsidP="00C96A5B">
      <w:pPr>
        <w:pStyle w:val="Nagwek2"/>
        <w:numPr>
          <w:ilvl w:val="12"/>
          <w:numId w:val="0"/>
        </w:numPr>
      </w:pPr>
      <w:r>
        <w:t>7.1. Ogólne zasady obmiaru robót</w:t>
      </w:r>
    </w:p>
    <w:p w:rsidR="00C96A5B" w:rsidRDefault="00C96A5B" w:rsidP="00C96A5B">
      <w:pPr>
        <w:numPr>
          <w:ilvl w:val="12"/>
          <w:numId w:val="0"/>
        </w:numPr>
      </w:pPr>
      <w:r>
        <w:tab/>
        <w:t>Ogólne zasady obmiaru robót podano w OST  D-M-00.00.00 „Wymagania ogólne” [1] pkt 7.</w:t>
      </w:r>
    </w:p>
    <w:p w:rsidR="00C96A5B" w:rsidRDefault="00C96A5B" w:rsidP="00C96A5B">
      <w:pPr>
        <w:pStyle w:val="Nagwek2"/>
        <w:numPr>
          <w:ilvl w:val="12"/>
          <w:numId w:val="0"/>
        </w:numPr>
      </w:pPr>
      <w:r>
        <w:t>7.2. Jednostka obmiarowa</w:t>
      </w:r>
    </w:p>
    <w:p w:rsidR="00C96A5B" w:rsidRDefault="00C96A5B" w:rsidP="00C96A5B">
      <w:r>
        <w:tab/>
        <w:t>Jednostką obmiarową jest m</w:t>
      </w:r>
      <w:r>
        <w:rPr>
          <w:vertAlign w:val="superscript"/>
        </w:rPr>
        <w:t>2</w:t>
      </w:r>
      <w:r>
        <w:t xml:space="preserve"> (metr kwadratowy) wykonanej podbudowy i podłoża ulepszonego.</w:t>
      </w:r>
    </w:p>
    <w:p w:rsidR="00C96A5B" w:rsidRDefault="00C96A5B" w:rsidP="00C96A5B">
      <w:pPr>
        <w:pStyle w:val="Nagwek1"/>
        <w:numPr>
          <w:ilvl w:val="12"/>
          <w:numId w:val="0"/>
        </w:numPr>
      </w:pPr>
      <w:r>
        <w:t xml:space="preserve"> </w:t>
      </w:r>
      <w:bookmarkStart w:id="609" w:name="_Toc421940503"/>
      <w:bookmarkStart w:id="610" w:name="_Toc24955915"/>
      <w:bookmarkStart w:id="611" w:name="_Toc25128889"/>
      <w:bookmarkStart w:id="612" w:name="_Toc25373387"/>
      <w:bookmarkStart w:id="613" w:name="_Toc25379403"/>
      <w:bookmarkStart w:id="614" w:name="_Toc174333140"/>
      <w:bookmarkStart w:id="615" w:name="_Toc179183773"/>
      <w:bookmarkStart w:id="616" w:name="_Toc198436142"/>
      <w:bookmarkStart w:id="617" w:name="_Toc199904826"/>
      <w:bookmarkStart w:id="618" w:name="_Toc216843090"/>
      <w:bookmarkStart w:id="619" w:name="_Toc257193993"/>
      <w:bookmarkStart w:id="620" w:name="_Toc284409960"/>
      <w:bookmarkStart w:id="621" w:name="_Toc295205112"/>
      <w:bookmarkStart w:id="622" w:name="_Toc332010318"/>
      <w:r>
        <w:t xml:space="preserve">8. </w:t>
      </w:r>
      <w:bookmarkEnd w:id="609"/>
      <w:bookmarkEnd w:id="610"/>
      <w:bookmarkEnd w:id="611"/>
      <w:bookmarkEnd w:id="612"/>
      <w:bookmarkEnd w:id="613"/>
      <w:bookmarkEnd w:id="614"/>
      <w:bookmarkEnd w:id="615"/>
      <w:bookmarkEnd w:id="616"/>
      <w:bookmarkEnd w:id="617"/>
      <w:bookmarkEnd w:id="618"/>
      <w:bookmarkEnd w:id="619"/>
      <w:bookmarkEnd w:id="620"/>
      <w:bookmarkEnd w:id="621"/>
      <w:r>
        <w:t>ODBIÓR ROBÓT</w:t>
      </w:r>
      <w:bookmarkEnd w:id="622"/>
    </w:p>
    <w:p w:rsidR="00C96A5B" w:rsidRDefault="00C96A5B" w:rsidP="00C96A5B">
      <w:pPr>
        <w:numPr>
          <w:ilvl w:val="12"/>
          <w:numId w:val="0"/>
        </w:numPr>
      </w:pPr>
      <w:r>
        <w:tab/>
        <w:t>Ogólne zasady odbioru robót podano w OST  D-M-00.00.00 „Wymagania ogólne” [1] pkt 8.</w:t>
      </w:r>
    </w:p>
    <w:p w:rsidR="00C96A5B" w:rsidRDefault="00C96A5B" w:rsidP="00C96A5B">
      <w:pPr>
        <w:numPr>
          <w:ilvl w:val="12"/>
          <w:numId w:val="0"/>
        </w:numPr>
      </w:pPr>
      <w:r>
        <w:tab/>
        <w:t>Roboty uznaje się za wykonane zgodnie z dokumentacją projektową, ST i wymaganiami Inżyniera, jeżeli wszystkie pomiary i badania z zachowaniem tolerancji według punktu 6 dały wyniki pozytywne.</w:t>
      </w:r>
    </w:p>
    <w:p w:rsidR="00C96A5B" w:rsidRDefault="00C96A5B" w:rsidP="00C96A5B">
      <w:pPr>
        <w:pStyle w:val="Nagwek1"/>
        <w:numPr>
          <w:ilvl w:val="12"/>
          <w:numId w:val="0"/>
        </w:numPr>
      </w:pPr>
      <w:bookmarkStart w:id="623" w:name="_Toc421686551"/>
      <w:bookmarkStart w:id="624" w:name="_Toc421940504"/>
      <w:bookmarkStart w:id="625" w:name="_Toc24955916"/>
      <w:bookmarkStart w:id="626" w:name="_Toc25128890"/>
      <w:bookmarkStart w:id="627" w:name="_Toc25373388"/>
      <w:bookmarkStart w:id="628" w:name="_Toc25379404"/>
      <w:bookmarkStart w:id="629" w:name="_Toc174333141"/>
      <w:bookmarkStart w:id="630" w:name="_Toc179183774"/>
      <w:bookmarkStart w:id="631" w:name="_Toc198436143"/>
      <w:bookmarkStart w:id="632" w:name="_Toc199904827"/>
      <w:bookmarkStart w:id="633" w:name="_Toc216843091"/>
      <w:bookmarkStart w:id="634" w:name="_Toc257193994"/>
      <w:bookmarkStart w:id="635" w:name="_Toc284409961"/>
      <w:bookmarkStart w:id="636" w:name="_Toc295205113"/>
      <w:bookmarkStart w:id="637" w:name="_Toc332010319"/>
      <w:r>
        <w:t xml:space="preserve">9. </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PODSTAWA PŁATNOŚCI</w:t>
      </w:r>
      <w:bookmarkEnd w:id="637"/>
    </w:p>
    <w:p w:rsidR="00C96A5B" w:rsidRDefault="00C96A5B" w:rsidP="00C96A5B">
      <w:pPr>
        <w:pStyle w:val="Nagwek2"/>
        <w:numPr>
          <w:ilvl w:val="12"/>
          <w:numId w:val="0"/>
        </w:numPr>
      </w:pPr>
      <w:r>
        <w:t>9.1. Ogólne ustalenia dotyczące podstawy płatności</w:t>
      </w:r>
    </w:p>
    <w:p w:rsidR="00C96A5B" w:rsidRDefault="00C96A5B" w:rsidP="00C96A5B">
      <w:pPr>
        <w:numPr>
          <w:ilvl w:val="12"/>
          <w:numId w:val="0"/>
        </w:numPr>
      </w:pPr>
      <w:r>
        <w:tab/>
        <w:t>Ogólne ustalenia dotyczące podstawy płatności podano w OST D-M-00.00.00 „Wymagania ogólne” [1] pkt 9.</w:t>
      </w:r>
    </w:p>
    <w:p w:rsidR="00C96A5B" w:rsidRDefault="00C96A5B" w:rsidP="00C96A5B">
      <w:pPr>
        <w:pStyle w:val="Nagwek2"/>
        <w:numPr>
          <w:ilvl w:val="12"/>
          <w:numId w:val="0"/>
        </w:numPr>
      </w:pPr>
      <w:r>
        <w:lastRenderedPageBreak/>
        <w:t>9.2. Cena jednostki obmiarowej</w:t>
      </w:r>
    </w:p>
    <w:p w:rsidR="00C96A5B" w:rsidRDefault="00C96A5B" w:rsidP="00C96A5B">
      <w:pPr>
        <w:numPr>
          <w:ilvl w:val="12"/>
          <w:numId w:val="0"/>
        </w:numPr>
      </w:pPr>
      <w:r>
        <w:tab/>
        <w:t>Cena wykonania  jednostki obmiarowej (</w:t>
      </w:r>
      <w:smartTag w:uri="urn:schemas-microsoft-com:office:smarttags" w:element="metricconverter">
        <w:smartTagPr>
          <w:attr w:name="productid" w:val="1 m2"/>
        </w:smartTagPr>
        <w:r>
          <w:t>1 m</w:t>
        </w:r>
        <w:r>
          <w:rPr>
            <w:vertAlign w:val="superscript"/>
          </w:rPr>
          <w:t>2</w:t>
        </w:r>
      </w:smartTag>
      <w:r>
        <w:t>) obejmuje:</w:t>
      </w:r>
    </w:p>
    <w:p w:rsidR="00C96A5B" w:rsidRDefault="00C96A5B" w:rsidP="00C96A5B">
      <w:pPr>
        <w:numPr>
          <w:ilvl w:val="0"/>
          <w:numId w:val="5"/>
        </w:numPr>
        <w:overflowPunct w:val="0"/>
        <w:autoSpaceDE w:val="0"/>
        <w:autoSpaceDN w:val="0"/>
        <w:adjustRightInd w:val="0"/>
        <w:spacing w:after="0" w:line="240" w:lineRule="auto"/>
        <w:jc w:val="both"/>
      </w:pPr>
      <w:r>
        <w:t>prace pomiarowe i roboty przygotowawcze,</w:t>
      </w:r>
    </w:p>
    <w:p w:rsidR="00C96A5B" w:rsidRDefault="00C96A5B" w:rsidP="00C96A5B">
      <w:pPr>
        <w:numPr>
          <w:ilvl w:val="0"/>
          <w:numId w:val="5"/>
        </w:numPr>
        <w:overflowPunct w:val="0"/>
        <w:autoSpaceDE w:val="0"/>
        <w:autoSpaceDN w:val="0"/>
        <w:adjustRightInd w:val="0"/>
        <w:spacing w:after="0" w:line="240" w:lineRule="auto"/>
        <w:jc w:val="both"/>
      </w:pPr>
      <w:r>
        <w:t>oznakowanie robót,</w:t>
      </w:r>
    </w:p>
    <w:p w:rsidR="00C96A5B" w:rsidRDefault="00C96A5B" w:rsidP="00C96A5B">
      <w:pPr>
        <w:numPr>
          <w:ilvl w:val="0"/>
          <w:numId w:val="5"/>
        </w:numPr>
        <w:overflowPunct w:val="0"/>
        <w:autoSpaceDE w:val="0"/>
        <w:autoSpaceDN w:val="0"/>
        <w:adjustRightInd w:val="0"/>
        <w:spacing w:after="0" w:line="240" w:lineRule="auto"/>
        <w:jc w:val="both"/>
      </w:pPr>
      <w:r>
        <w:t>dostarczenie materiałów i sprzętu,</w:t>
      </w:r>
    </w:p>
    <w:p w:rsidR="00C96A5B" w:rsidRDefault="00C96A5B" w:rsidP="00C96A5B">
      <w:pPr>
        <w:numPr>
          <w:ilvl w:val="0"/>
          <w:numId w:val="5"/>
        </w:numPr>
        <w:overflowPunct w:val="0"/>
        <w:autoSpaceDE w:val="0"/>
        <w:autoSpaceDN w:val="0"/>
        <w:adjustRightInd w:val="0"/>
        <w:spacing w:after="0" w:line="240" w:lineRule="auto"/>
        <w:jc w:val="both"/>
      </w:pPr>
      <w:r>
        <w:t>wyprodukowanie mieszanki i jej transport na miejsce wbudowania,</w:t>
      </w:r>
    </w:p>
    <w:p w:rsidR="00C96A5B" w:rsidRDefault="00C96A5B" w:rsidP="00C96A5B">
      <w:pPr>
        <w:numPr>
          <w:ilvl w:val="0"/>
          <w:numId w:val="5"/>
        </w:numPr>
        <w:overflowPunct w:val="0"/>
        <w:autoSpaceDE w:val="0"/>
        <w:autoSpaceDN w:val="0"/>
        <w:adjustRightInd w:val="0"/>
        <w:spacing w:after="0" w:line="240" w:lineRule="auto"/>
        <w:jc w:val="both"/>
      </w:pPr>
      <w:r>
        <w:t>dostarczenie, ustawienie, rozebranie i odwiezienie prowadnic oraz innych materiałów i urządzeń pomocniczych,</w:t>
      </w:r>
    </w:p>
    <w:p w:rsidR="00C96A5B" w:rsidRDefault="00C96A5B" w:rsidP="00C96A5B">
      <w:pPr>
        <w:numPr>
          <w:ilvl w:val="0"/>
          <w:numId w:val="5"/>
        </w:numPr>
        <w:overflowPunct w:val="0"/>
        <w:autoSpaceDE w:val="0"/>
        <w:autoSpaceDN w:val="0"/>
        <w:adjustRightInd w:val="0"/>
        <w:spacing w:after="0" w:line="240" w:lineRule="auto"/>
        <w:jc w:val="both"/>
      </w:pPr>
      <w:r>
        <w:t>rozłożenie i zagęszczenie mieszanki,</w:t>
      </w:r>
    </w:p>
    <w:p w:rsidR="00C96A5B" w:rsidRDefault="00C96A5B" w:rsidP="00C96A5B">
      <w:pPr>
        <w:numPr>
          <w:ilvl w:val="0"/>
          <w:numId w:val="5"/>
        </w:numPr>
        <w:overflowPunct w:val="0"/>
        <w:autoSpaceDE w:val="0"/>
        <w:autoSpaceDN w:val="0"/>
        <w:adjustRightInd w:val="0"/>
        <w:spacing w:after="0" w:line="240" w:lineRule="auto"/>
        <w:jc w:val="both"/>
      </w:pPr>
      <w:r>
        <w:t>ew. nacięcie szczelin i wykonanie technologii przeciwspękaniowych,</w:t>
      </w:r>
    </w:p>
    <w:p w:rsidR="00C96A5B" w:rsidRDefault="00C96A5B" w:rsidP="00C96A5B">
      <w:pPr>
        <w:numPr>
          <w:ilvl w:val="0"/>
          <w:numId w:val="5"/>
        </w:numPr>
        <w:overflowPunct w:val="0"/>
        <w:autoSpaceDE w:val="0"/>
        <w:autoSpaceDN w:val="0"/>
        <w:adjustRightInd w:val="0"/>
        <w:spacing w:after="0" w:line="240" w:lineRule="auto"/>
        <w:jc w:val="both"/>
      </w:pPr>
      <w:r>
        <w:t>pielęgnacja wykonanej warstwy,</w:t>
      </w:r>
    </w:p>
    <w:p w:rsidR="00C96A5B" w:rsidRDefault="00C96A5B" w:rsidP="00C96A5B">
      <w:pPr>
        <w:numPr>
          <w:ilvl w:val="0"/>
          <w:numId w:val="5"/>
        </w:numPr>
        <w:overflowPunct w:val="0"/>
        <w:autoSpaceDE w:val="0"/>
        <w:autoSpaceDN w:val="0"/>
        <w:adjustRightInd w:val="0"/>
        <w:spacing w:after="0" w:line="240" w:lineRule="auto"/>
        <w:jc w:val="both"/>
      </w:pPr>
      <w:r>
        <w:t>przeprowadzenie wymaganych  pomiarów i badań,</w:t>
      </w:r>
    </w:p>
    <w:p w:rsidR="00C96A5B" w:rsidRDefault="00C96A5B" w:rsidP="00C96A5B">
      <w:pPr>
        <w:numPr>
          <w:ilvl w:val="0"/>
          <w:numId w:val="5"/>
        </w:numPr>
        <w:overflowPunct w:val="0"/>
        <w:autoSpaceDE w:val="0"/>
        <w:autoSpaceDN w:val="0"/>
        <w:adjustRightInd w:val="0"/>
        <w:spacing w:after="0" w:line="240" w:lineRule="auto"/>
        <w:jc w:val="both"/>
      </w:pPr>
      <w:r>
        <w:t>uporządkowanie terenu robót i jego otoczenia,</w:t>
      </w:r>
    </w:p>
    <w:p w:rsidR="00C96A5B" w:rsidRDefault="00C96A5B" w:rsidP="00C96A5B">
      <w:pPr>
        <w:numPr>
          <w:ilvl w:val="0"/>
          <w:numId w:val="5"/>
        </w:numPr>
        <w:overflowPunct w:val="0"/>
        <w:autoSpaceDE w:val="0"/>
        <w:autoSpaceDN w:val="0"/>
        <w:adjustRightInd w:val="0"/>
        <w:spacing w:after="0" w:line="240" w:lineRule="auto"/>
        <w:jc w:val="both"/>
      </w:pPr>
      <w:r>
        <w:t>roboty wykończeniowe,</w:t>
      </w:r>
    </w:p>
    <w:p w:rsidR="00C96A5B" w:rsidRDefault="00C96A5B" w:rsidP="00C96A5B">
      <w:pPr>
        <w:numPr>
          <w:ilvl w:val="0"/>
          <w:numId w:val="5"/>
        </w:numPr>
        <w:overflowPunct w:val="0"/>
        <w:autoSpaceDE w:val="0"/>
        <w:autoSpaceDN w:val="0"/>
        <w:adjustRightInd w:val="0"/>
        <w:spacing w:after="0" w:line="240" w:lineRule="auto"/>
        <w:jc w:val="both"/>
        <w:rPr>
          <w:b/>
        </w:rPr>
      </w:pPr>
      <w:r>
        <w:t>odwiezienie sprzętu.</w:t>
      </w:r>
    </w:p>
    <w:p w:rsidR="00C96A5B" w:rsidRDefault="00C96A5B" w:rsidP="00C96A5B">
      <w:pPr>
        <w:ind w:firstLine="709"/>
      </w:pPr>
      <w:r>
        <w:t>Wszystkie roboty powinny być wykonane według wymagań dokumentacji projektowej, ST, specyfikacji technicznej i postanowień Inżyniera.</w:t>
      </w:r>
    </w:p>
    <w:p w:rsidR="00C96A5B" w:rsidRDefault="00C96A5B" w:rsidP="00C96A5B">
      <w:pPr>
        <w:pStyle w:val="Nagwek2"/>
      </w:pPr>
      <w:r>
        <w:t>9.3. Sposób rozliczenia robót tymczasowych i prac towarzyszących</w:t>
      </w:r>
    </w:p>
    <w:p w:rsidR="00C96A5B" w:rsidRDefault="00C96A5B" w:rsidP="00C96A5B">
      <w:r>
        <w:tab/>
        <w:t>Cena wykonania robót określonych niniejszą OST obejmuje:</w:t>
      </w:r>
    </w:p>
    <w:p w:rsidR="00C96A5B" w:rsidRDefault="00C96A5B" w:rsidP="00C96A5B">
      <w:pPr>
        <w:numPr>
          <w:ilvl w:val="0"/>
          <w:numId w:val="5"/>
        </w:numPr>
        <w:overflowPunct w:val="0"/>
        <w:autoSpaceDE w:val="0"/>
        <w:autoSpaceDN w:val="0"/>
        <w:adjustRightInd w:val="0"/>
        <w:spacing w:after="0" w:line="240" w:lineRule="auto"/>
        <w:jc w:val="both"/>
      </w:pPr>
      <w:r>
        <w:t>roboty tymczasowe, które są potrzebne do wykonania robót podstawowych, ale nie są przekazywane Zamawiającemu i są usuwane po wykonaniu robót podstawowych,</w:t>
      </w:r>
    </w:p>
    <w:p w:rsidR="00C96A5B" w:rsidRDefault="00C96A5B" w:rsidP="00C96A5B">
      <w:pPr>
        <w:numPr>
          <w:ilvl w:val="0"/>
          <w:numId w:val="5"/>
        </w:numPr>
        <w:overflowPunct w:val="0"/>
        <w:autoSpaceDE w:val="0"/>
        <w:autoSpaceDN w:val="0"/>
        <w:adjustRightInd w:val="0"/>
        <w:spacing w:after="0" w:line="240" w:lineRule="auto"/>
        <w:jc w:val="both"/>
      </w:pPr>
      <w:r>
        <w:t>prace towarzyszące, które są niezbędne do wykonania robót podstawowych, niezaliczane do robót tymczasowych, jak geodezyjne wytyczenie robót itd.</w:t>
      </w:r>
    </w:p>
    <w:p w:rsidR="00C96A5B" w:rsidRDefault="00C96A5B" w:rsidP="00C96A5B">
      <w:pPr>
        <w:pStyle w:val="Nagwek1"/>
      </w:pPr>
      <w:bookmarkStart w:id="638" w:name="_Toc24955917"/>
      <w:bookmarkStart w:id="639" w:name="_Toc25041751"/>
      <w:bookmarkStart w:id="640" w:name="_Toc25128891"/>
      <w:bookmarkStart w:id="641" w:name="_Toc25373389"/>
      <w:bookmarkStart w:id="642" w:name="_Toc25379405"/>
      <w:bookmarkStart w:id="643" w:name="_Toc174333142"/>
      <w:bookmarkStart w:id="644" w:name="_Toc179183775"/>
      <w:bookmarkStart w:id="645" w:name="_Toc198436144"/>
      <w:bookmarkStart w:id="646" w:name="_Toc199904828"/>
      <w:bookmarkStart w:id="647" w:name="_Toc216843092"/>
      <w:bookmarkStart w:id="648" w:name="_Toc257193995"/>
      <w:bookmarkStart w:id="649" w:name="_Toc284409962"/>
      <w:bookmarkStart w:id="650" w:name="_Toc295205114"/>
      <w:bookmarkStart w:id="651" w:name="_Toc332010320"/>
      <w:r>
        <w:t xml:space="preserve">10. </w:t>
      </w:r>
      <w:bookmarkEnd w:id="638"/>
      <w:bookmarkEnd w:id="639"/>
      <w:bookmarkEnd w:id="640"/>
      <w:bookmarkEnd w:id="641"/>
      <w:bookmarkEnd w:id="642"/>
      <w:bookmarkEnd w:id="643"/>
      <w:bookmarkEnd w:id="644"/>
      <w:bookmarkEnd w:id="645"/>
      <w:bookmarkEnd w:id="646"/>
      <w:bookmarkEnd w:id="647"/>
      <w:bookmarkEnd w:id="648"/>
      <w:bookmarkEnd w:id="649"/>
      <w:bookmarkEnd w:id="650"/>
      <w:r>
        <w:t>PRZEPISY ZWIĄZANE</w:t>
      </w:r>
      <w:bookmarkEnd w:id="651"/>
    </w:p>
    <w:p w:rsidR="00C96A5B" w:rsidRDefault="00C96A5B" w:rsidP="00C96A5B">
      <w:pPr>
        <w:pStyle w:val="Nagwek2"/>
      </w:pPr>
      <w:r>
        <w:t>10.1. Ogólne specyfikacje techniczne (OST)</w:t>
      </w:r>
    </w:p>
    <w:tbl>
      <w:tblPr>
        <w:tblW w:w="0" w:type="auto"/>
        <w:tblCellMar>
          <w:left w:w="70" w:type="dxa"/>
          <w:right w:w="70" w:type="dxa"/>
        </w:tblCellMar>
        <w:tblLook w:val="04A0" w:firstRow="1" w:lastRow="0" w:firstColumn="1" w:lastColumn="0" w:noHBand="0" w:noVBand="1"/>
      </w:tblPr>
      <w:tblGrid>
        <w:gridCol w:w="622"/>
        <w:gridCol w:w="1667"/>
        <w:gridCol w:w="6783"/>
      </w:tblGrid>
      <w:tr w:rsidR="00C96A5B" w:rsidTr="00E558D1">
        <w:tc>
          <w:tcPr>
            <w:tcW w:w="637" w:type="dxa"/>
            <w:hideMark/>
          </w:tcPr>
          <w:p w:rsidR="00C96A5B" w:rsidRDefault="00C96A5B" w:rsidP="00E558D1">
            <w:pPr>
              <w:jc w:val="center"/>
            </w:pPr>
            <w:r>
              <w:t>1.</w:t>
            </w:r>
          </w:p>
        </w:tc>
        <w:tc>
          <w:tcPr>
            <w:tcW w:w="1701" w:type="dxa"/>
            <w:hideMark/>
          </w:tcPr>
          <w:p w:rsidR="00C96A5B" w:rsidRDefault="00C96A5B" w:rsidP="00E558D1">
            <w:r>
              <w:t xml:space="preserve"> D-M-00.00.00</w:t>
            </w:r>
          </w:p>
        </w:tc>
        <w:tc>
          <w:tcPr>
            <w:tcW w:w="7018" w:type="dxa"/>
            <w:hideMark/>
          </w:tcPr>
          <w:p w:rsidR="00C96A5B" w:rsidRDefault="00C96A5B" w:rsidP="00E558D1">
            <w:r>
              <w:t>Wymagania ogólne</w:t>
            </w:r>
          </w:p>
        </w:tc>
      </w:tr>
      <w:tr w:rsidR="00C96A5B" w:rsidTr="00E558D1">
        <w:tc>
          <w:tcPr>
            <w:tcW w:w="637" w:type="dxa"/>
            <w:hideMark/>
          </w:tcPr>
          <w:p w:rsidR="00C96A5B" w:rsidRDefault="00C96A5B" w:rsidP="00E558D1">
            <w:pPr>
              <w:jc w:val="center"/>
            </w:pPr>
            <w:r>
              <w:t>2.</w:t>
            </w:r>
          </w:p>
        </w:tc>
        <w:tc>
          <w:tcPr>
            <w:tcW w:w="1701" w:type="dxa"/>
            <w:hideMark/>
          </w:tcPr>
          <w:p w:rsidR="00C96A5B" w:rsidRDefault="00C96A5B" w:rsidP="00E558D1">
            <w:r>
              <w:t xml:space="preserve"> D-01.00.00</w:t>
            </w:r>
          </w:p>
        </w:tc>
        <w:tc>
          <w:tcPr>
            <w:tcW w:w="7018" w:type="dxa"/>
            <w:hideMark/>
          </w:tcPr>
          <w:p w:rsidR="00C96A5B" w:rsidRDefault="00C96A5B" w:rsidP="00E558D1">
            <w:r>
              <w:t>Roboty przygotowawcze</w:t>
            </w:r>
          </w:p>
        </w:tc>
      </w:tr>
      <w:tr w:rsidR="00C96A5B" w:rsidTr="00E558D1">
        <w:tc>
          <w:tcPr>
            <w:tcW w:w="637" w:type="dxa"/>
            <w:hideMark/>
          </w:tcPr>
          <w:p w:rsidR="00C96A5B" w:rsidRDefault="00C96A5B" w:rsidP="00E558D1">
            <w:pPr>
              <w:jc w:val="center"/>
            </w:pPr>
            <w:r>
              <w:t>3.</w:t>
            </w:r>
          </w:p>
        </w:tc>
        <w:tc>
          <w:tcPr>
            <w:tcW w:w="1701" w:type="dxa"/>
            <w:hideMark/>
          </w:tcPr>
          <w:p w:rsidR="00C96A5B" w:rsidRDefault="00C96A5B" w:rsidP="00E558D1">
            <w:r>
              <w:t xml:space="preserve"> D-02.00.00</w:t>
            </w:r>
          </w:p>
        </w:tc>
        <w:tc>
          <w:tcPr>
            <w:tcW w:w="7018" w:type="dxa"/>
            <w:hideMark/>
          </w:tcPr>
          <w:p w:rsidR="00C96A5B" w:rsidRDefault="00C96A5B" w:rsidP="00E558D1">
            <w:r>
              <w:t>Roboty ziemne</w:t>
            </w:r>
          </w:p>
        </w:tc>
      </w:tr>
      <w:tr w:rsidR="00C96A5B" w:rsidTr="00E558D1">
        <w:tc>
          <w:tcPr>
            <w:tcW w:w="637" w:type="dxa"/>
            <w:hideMark/>
          </w:tcPr>
          <w:p w:rsidR="00C96A5B" w:rsidRDefault="00C96A5B" w:rsidP="00E558D1">
            <w:pPr>
              <w:jc w:val="center"/>
            </w:pPr>
            <w:r>
              <w:t>4.</w:t>
            </w:r>
          </w:p>
        </w:tc>
        <w:tc>
          <w:tcPr>
            <w:tcW w:w="1701" w:type="dxa"/>
            <w:hideMark/>
          </w:tcPr>
          <w:p w:rsidR="00C96A5B" w:rsidRDefault="00C96A5B" w:rsidP="00E558D1">
            <w:r>
              <w:t xml:space="preserve"> D-04.01.01</w:t>
            </w:r>
          </w:p>
        </w:tc>
        <w:tc>
          <w:tcPr>
            <w:tcW w:w="7018" w:type="dxa"/>
            <w:hideMark/>
          </w:tcPr>
          <w:p w:rsidR="00C96A5B" w:rsidRDefault="00C96A5B" w:rsidP="00E558D1">
            <w:r>
              <w:t>Koryto wraz z profilowaniem i zagęszczeniem podłoża</w:t>
            </w:r>
          </w:p>
        </w:tc>
      </w:tr>
    </w:tbl>
    <w:p w:rsidR="00C96A5B" w:rsidRDefault="00C96A5B" w:rsidP="00C96A5B">
      <w:pPr>
        <w:pStyle w:val="Nagwek2"/>
      </w:pPr>
      <w:r>
        <w:t>10.2. Normy</w:t>
      </w:r>
    </w:p>
    <w:tbl>
      <w:tblPr>
        <w:tblW w:w="0" w:type="auto"/>
        <w:tblLook w:val="01E0" w:firstRow="1" w:lastRow="1" w:firstColumn="1" w:lastColumn="1" w:noHBand="0" w:noVBand="0"/>
      </w:tblPr>
      <w:tblGrid>
        <w:gridCol w:w="667"/>
        <w:gridCol w:w="1662"/>
        <w:gridCol w:w="6743"/>
      </w:tblGrid>
      <w:tr w:rsidR="00C96A5B" w:rsidTr="00E558D1">
        <w:tc>
          <w:tcPr>
            <w:tcW w:w="675" w:type="dxa"/>
            <w:hideMark/>
          </w:tcPr>
          <w:p w:rsidR="00C96A5B" w:rsidRDefault="00C96A5B" w:rsidP="00E558D1">
            <w:pPr>
              <w:jc w:val="center"/>
            </w:pPr>
            <w:r>
              <w:t>5.</w:t>
            </w:r>
          </w:p>
        </w:tc>
        <w:tc>
          <w:tcPr>
            <w:tcW w:w="1701" w:type="dxa"/>
            <w:hideMark/>
          </w:tcPr>
          <w:p w:rsidR="00C96A5B" w:rsidRDefault="00C96A5B" w:rsidP="00E558D1">
            <w:r>
              <w:t>PN-EN 197-1</w:t>
            </w:r>
          </w:p>
        </w:tc>
        <w:tc>
          <w:tcPr>
            <w:tcW w:w="6980" w:type="dxa"/>
            <w:hideMark/>
          </w:tcPr>
          <w:p w:rsidR="00C96A5B" w:rsidRDefault="00C96A5B" w:rsidP="00E558D1">
            <w:r>
              <w:t>Cement – Część 1: Skład, wymagania i kryteria zgodności dotyczące cementów powszechnego użytku</w:t>
            </w:r>
          </w:p>
        </w:tc>
      </w:tr>
      <w:tr w:rsidR="00C96A5B" w:rsidTr="00E558D1">
        <w:tc>
          <w:tcPr>
            <w:tcW w:w="675" w:type="dxa"/>
            <w:hideMark/>
          </w:tcPr>
          <w:p w:rsidR="00C96A5B" w:rsidRDefault="00C96A5B" w:rsidP="00E558D1">
            <w:pPr>
              <w:jc w:val="center"/>
            </w:pPr>
            <w:r>
              <w:t>6.</w:t>
            </w:r>
          </w:p>
        </w:tc>
        <w:tc>
          <w:tcPr>
            <w:tcW w:w="1701" w:type="dxa"/>
            <w:hideMark/>
          </w:tcPr>
          <w:p w:rsidR="00C96A5B" w:rsidRDefault="00C96A5B" w:rsidP="00E558D1">
            <w:r>
              <w:t>PN-EN 933-1</w:t>
            </w:r>
          </w:p>
        </w:tc>
        <w:tc>
          <w:tcPr>
            <w:tcW w:w="6980" w:type="dxa"/>
            <w:hideMark/>
          </w:tcPr>
          <w:p w:rsidR="00C96A5B" w:rsidRDefault="00C96A5B" w:rsidP="00E558D1">
            <w:r>
              <w:t>Badania geometrycznych właściwości kruszyw – Oznaczanie składu ziarnowego – Metoda przesiewania</w:t>
            </w:r>
          </w:p>
        </w:tc>
      </w:tr>
      <w:tr w:rsidR="00C96A5B" w:rsidTr="00E558D1">
        <w:tc>
          <w:tcPr>
            <w:tcW w:w="675" w:type="dxa"/>
            <w:hideMark/>
          </w:tcPr>
          <w:p w:rsidR="00C96A5B" w:rsidRDefault="00C96A5B" w:rsidP="00E558D1">
            <w:pPr>
              <w:jc w:val="center"/>
            </w:pPr>
            <w:r>
              <w:t>7.</w:t>
            </w:r>
          </w:p>
        </w:tc>
        <w:tc>
          <w:tcPr>
            <w:tcW w:w="1701" w:type="dxa"/>
            <w:hideMark/>
          </w:tcPr>
          <w:p w:rsidR="00C96A5B" w:rsidRDefault="00C96A5B" w:rsidP="00E558D1">
            <w:r>
              <w:t>PN-EN 933-3</w:t>
            </w:r>
          </w:p>
        </w:tc>
        <w:tc>
          <w:tcPr>
            <w:tcW w:w="6980" w:type="dxa"/>
            <w:hideMark/>
          </w:tcPr>
          <w:p w:rsidR="00C96A5B" w:rsidRDefault="00C96A5B" w:rsidP="00E558D1">
            <w:r>
              <w:t>Badania geometrycznych właściwości kruszyw – Oznaczanie kształtu ziarn za pomocą wskaźnika płaskości</w:t>
            </w:r>
          </w:p>
        </w:tc>
      </w:tr>
      <w:tr w:rsidR="00C96A5B" w:rsidTr="00E558D1">
        <w:tc>
          <w:tcPr>
            <w:tcW w:w="675" w:type="dxa"/>
            <w:hideMark/>
          </w:tcPr>
          <w:p w:rsidR="00C96A5B" w:rsidRDefault="00C96A5B" w:rsidP="00E558D1">
            <w:pPr>
              <w:jc w:val="center"/>
            </w:pPr>
            <w:r>
              <w:t>8.</w:t>
            </w:r>
          </w:p>
        </w:tc>
        <w:tc>
          <w:tcPr>
            <w:tcW w:w="1701" w:type="dxa"/>
            <w:hideMark/>
          </w:tcPr>
          <w:p w:rsidR="00C96A5B" w:rsidRDefault="00C96A5B" w:rsidP="00E558D1">
            <w:r>
              <w:t>PN-EN 933-4</w:t>
            </w:r>
          </w:p>
        </w:tc>
        <w:tc>
          <w:tcPr>
            <w:tcW w:w="6980" w:type="dxa"/>
            <w:hideMark/>
          </w:tcPr>
          <w:p w:rsidR="00C96A5B" w:rsidRDefault="00C96A5B" w:rsidP="00E558D1">
            <w:r>
              <w:t>Badania geometrycznych właściwości kruszyw – Oznaczanie kształtu ziarn – Wskaźnik kształtu</w:t>
            </w:r>
          </w:p>
        </w:tc>
      </w:tr>
      <w:tr w:rsidR="00C96A5B" w:rsidTr="00E558D1">
        <w:tc>
          <w:tcPr>
            <w:tcW w:w="675" w:type="dxa"/>
            <w:hideMark/>
          </w:tcPr>
          <w:p w:rsidR="00C96A5B" w:rsidRDefault="00C96A5B" w:rsidP="00E558D1">
            <w:pPr>
              <w:jc w:val="center"/>
            </w:pPr>
            <w:r>
              <w:lastRenderedPageBreak/>
              <w:t>9.</w:t>
            </w:r>
          </w:p>
        </w:tc>
        <w:tc>
          <w:tcPr>
            <w:tcW w:w="1701" w:type="dxa"/>
            <w:hideMark/>
          </w:tcPr>
          <w:p w:rsidR="00C96A5B" w:rsidRDefault="00C96A5B" w:rsidP="00E558D1">
            <w:r>
              <w:t>PN-EN 933-5</w:t>
            </w:r>
          </w:p>
        </w:tc>
        <w:tc>
          <w:tcPr>
            <w:tcW w:w="6980" w:type="dxa"/>
            <w:hideMark/>
          </w:tcPr>
          <w:p w:rsidR="00C96A5B" w:rsidRDefault="00C96A5B" w:rsidP="00E558D1">
            <w:r>
              <w:t>Badania geometrycznych właściwości kruszyw – Oznaczanie procentowej zawartości ziarn o powierzchniach powstałych w wyniku przekruszenia lub łamania kruszyw grubych</w:t>
            </w:r>
          </w:p>
        </w:tc>
      </w:tr>
      <w:tr w:rsidR="00C96A5B" w:rsidTr="00E558D1">
        <w:tc>
          <w:tcPr>
            <w:tcW w:w="675" w:type="dxa"/>
            <w:hideMark/>
          </w:tcPr>
          <w:p w:rsidR="00C96A5B" w:rsidRDefault="00C96A5B" w:rsidP="00E558D1">
            <w:pPr>
              <w:jc w:val="center"/>
            </w:pPr>
            <w:r>
              <w:t>10.</w:t>
            </w:r>
          </w:p>
        </w:tc>
        <w:tc>
          <w:tcPr>
            <w:tcW w:w="1701" w:type="dxa"/>
            <w:hideMark/>
          </w:tcPr>
          <w:p w:rsidR="00C96A5B" w:rsidRDefault="00C96A5B" w:rsidP="00E558D1">
            <w:r>
              <w:t>PN-EN 934-2</w:t>
            </w:r>
          </w:p>
        </w:tc>
        <w:tc>
          <w:tcPr>
            <w:tcW w:w="6980" w:type="dxa"/>
            <w:hideMark/>
          </w:tcPr>
          <w:p w:rsidR="00C96A5B" w:rsidRDefault="00C96A5B" w:rsidP="00E558D1">
            <w:r>
              <w:t>Domieszki do betonu, zaprawy i zaczynu – Domieszki do betonu – Definicje i wymagania</w:t>
            </w:r>
          </w:p>
        </w:tc>
      </w:tr>
      <w:tr w:rsidR="00C96A5B" w:rsidTr="00E558D1">
        <w:tc>
          <w:tcPr>
            <w:tcW w:w="675" w:type="dxa"/>
            <w:hideMark/>
          </w:tcPr>
          <w:p w:rsidR="00C96A5B" w:rsidRDefault="00C96A5B" w:rsidP="00E558D1">
            <w:pPr>
              <w:jc w:val="center"/>
            </w:pPr>
            <w:r>
              <w:t>11.</w:t>
            </w:r>
          </w:p>
        </w:tc>
        <w:tc>
          <w:tcPr>
            <w:tcW w:w="1701" w:type="dxa"/>
            <w:hideMark/>
          </w:tcPr>
          <w:p w:rsidR="00C96A5B" w:rsidRDefault="00C96A5B" w:rsidP="00E558D1">
            <w:r>
              <w:t>PN-EN 1008</w:t>
            </w:r>
          </w:p>
        </w:tc>
        <w:tc>
          <w:tcPr>
            <w:tcW w:w="6980" w:type="dxa"/>
            <w:hideMark/>
          </w:tcPr>
          <w:p w:rsidR="00C96A5B" w:rsidRDefault="00C96A5B" w:rsidP="00E558D1">
            <w:r>
              <w:t>Woda zarobowa do betonu – Specyfikacja pobierania próbek, badanie i ocena przydatności wody zarobowej do betonu, w tym wody odzyskanej z procesów produkcji betonu</w:t>
            </w:r>
          </w:p>
        </w:tc>
      </w:tr>
      <w:tr w:rsidR="00C96A5B" w:rsidTr="00E558D1">
        <w:tc>
          <w:tcPr>
            <w:tcW w:w="675" w:type="dxa"/>
            <w:hideMark/>
          </w:tcPr>
          <w:p w:rsidR="00C96A5B" w:rsidRDefault="00C96A5B" w:rsidP="00E558D1">
            <w:pPr>
              <w:jc w:val="center"/>
            </w:pPr>
            <w:r>
              <w:t>12.</w:t>
            </w:r>
          </w:p>
        </w:tc>
        <w:tc>
          <w:tcPr>
            <w:tcW w:w="1701" w:type="dxa"/>
            <w:hideMark/>
          </w:tcPr>
          <w:p w:rsidR="00C96A5B" w:rsidRDefault="00C96A5B" w:rsidP="00E558D1">
            <w:r>
              <w:t>PN-EN 1097-1</w:t>
            </w:r>
          </w:p>
        </w:tc>
        <w:tc>
          <w:tcPr>
            <w:tcW w:w="6980" w:type="dxa"/>
            <w:hideMark/>
          </w:tcPr>
          <w:p w:rsidR="00C96A5B" w:rsidRDefault="00C96A5B" w:rsidP="00E558D1">
            <w:r>
              <w:t>Badania mechanicznych i fizycznych właściwości kruszyw – Oznaczanie odporności na ścieranie (mikro-Deval)</w:t>
            </w:r>
          </w:p>
        </w:tc>
      </w:tr>
      <w:tr w:rsidR="00C96A5B" w:rsidTr="00E558D1">
        <w:tc>
          <w:tcPr>
            <w:tcW w:w="675" w:type="dxa"/>
            <w:hideMark/>
          </w:tcPr>
          <w:p w:rsidR="00C96A5B" w:rsidRDefault="00C96A5B" w:rsidP="00E558D1">
            <w:pPr>
              <w:jc w:val="center"/>
            </w:pPr>
            <w:r>
              <w:t>13.</w:t>
            </w:r>
          </w:p>
        </w:tc>
        <w:tc>
          <w:tcPr>
            <w:tcW w:w="1701" w:type="dxa"/>
            <w:hideMark/>
          </w:tcPr>
          <w:p w:rsidR="00C96A5B" w:rsidRDefault="00C96A5B" w:rsidP="00E558D1">
            <w:r>
              <w:t>PN-EN 1097-2</w:t>
            </w:r>
          </w:p>
        </w:tc>
        <w:tc>
          <w:tcPr>
            <w:tcW w:w="6980" w:type="dxa"/>
            <w:hideMark/>
          </w:tcPr>
          <w:p w:rsidR="00C96A5B" w:rsidRDefault="00C96A5B" w:rsidP="00E558D1">
            <w:r>
              <w:t>Badania mechanicznych i fizycznych właściwości kruszyw – Metody oznaczania odporności na rozdrabnianie</w:t>
            </w:r>
          </w:p>
        </w:tc>
      </w:tr>
      <w:tr w:rsidR="00C96A5B" w:rsidTr="00E558D1">
        <w:tc>
          <w:tcPr>
            <w:tcW w:w="675" w:type="dxa"/>
            <w:hideMark/>
          </w:tcPr>
          <w:p w:rsidR="00C96A5B" w:rsidRDefault="00C96A5B" w:rsidP="00E558D1">
            <w:pPr>
              <w:jc w:val="center"/>
            </w:pPr>
            <w:r>
              <w:t>14.</w:t>
            </w:r>
          </w:p>
        </w:tc>
        <w:tc>
          <w:tcPr>
            <w:tcW w:w="1701" w:type="dxa"/>
            <w:hideMark/>
          </w:tcPr>
          <w:p w:rsidR="00C96A5B" w:rsidRDefault="00C96A5B" w:rsidP="00E558D1">
            <w:r>
              <w:t>PN-EN 1097-6</w:t>
            </w:r>
          </w:p>
        </w:tc>
        <w:tc>
          <w:tcPr>
            <w:tcW w:w="6980" w:type="dxa"/>
            <w:hideMark/>
          </w:tcPr>
          <w:p w:rsidR="00C96A5B" w:rsidRDefault="00C96A5B" w:rsidP="00E558D1">
            <w:r>
              <w:t>Badania mechanicznych i fizycznych właściwości kruszyw – Część 6: Oznaczanie gęstości ziarn i nasiąkliwości</w:t>
            </w:r>
          </w:p>
        </w:tc>
      </w:tr>
      <w:tr w:rsidR="00C96A5B" w:rsidTr="00E558D1">
        <w:tc>
          <w:tcPr>
            <w:tcW w:w="675" w:type="dxa"/>
            <w:hideMark/>
          </w:tcPr>
          <w:p w:rsidR="00C96A5B" w:rsidRDefault="00C96A5B" w:rsidP="00E558D1">
            <w:pPr>
              <w:jc w:val="center"/>
            </w:pPr>
            <w:r>
              <w:t>15.</w:t>
            </w:r>
          </w:p>
        </w:tc>
        <w:tc>
          <w:tcPr>
            <w:tcW w:w="1701" w:type="dxa"/>
            <w:hideMark/>
          </w:tcPr>
          <w:p w:rsidR="00C96A5B" w:rsidRDefault="00C96A5B" w:rsidP="00E558D1">
            <w:r>
              <w:t>PN-EN 1367-1</w:t>
            </w:r>
          </w:p>
        </w:tc>
        <w:tc>
          <w:tcPr>
            <w:tcW w:w="6980" w:type="dxa"/>
            <w:hideMark/>
          </w:tcPr>
          <w:p w:rsidR="00C96A5B" w:rsidRDefault="00C96A5B" w:rsidP="00E558D1">
            <w:r>
              <w:t>Badania właściwości cieplnych i odporności kruszyw na działanie czynników atmosferycznych – Część 1: Oznaczanie mrozoodporności</w:t>
            </w:r>
          </w:p>
        </w:tc>
      </w:tr>
      <w:tr w:rsidR="00C96A5B" w:rsidTr="00E558D1">
        <w:tc>
          <w:tcPr>
            <w:tcW w:w="675" w:type="dxa"/>
            <w:hideMark/>
          </w:tcPr>
          <w:p w:rsidR="00C96A5B" w:rsidRDefault="00C96A5B" w:rsidP="00E558D1">
            <w:pPr>
              <w:jc w:val="center"/>
            </w:pPr>
            <w:r>
              <w:t>16.</w:t>
            </w:r>
          </w:p>
        </w:tc>
        <w:tc>
          <w:tcPr>
            <w:tcW w:w="1701" w:type="dxa"/>
            <w:hideMark/>
          </w:tcPr>
          <w:p w:rsidR="00C96A5B" w:rsidRDefault="00C96A5B" w:rsidP="00E558D1">
            <w:r>
              <w:t>PN-EN 1367-3</w:t>
            </w:r>
          </w:p>
        </w:tc>
        <w:tc>
          <w:tcPr>
            <w:tcW w:w="6980" w:type="dxa"/>
            <w:hideMark/>
          </w:tcPr>
          <w:p w:rsidR="00C96A5B" w:rsidRDefault="00C96A5B" w:rsidP="00E558D1">
            <w:r>
              <w:t>Badania właściwości cieplnych i odporności kruszyw na działanie czynników atmosferycznych – Część 3: Badanie bazaltowej zgorzeli słonecznej metodą gotowania</w:t>
            </w:r>
          </w:p>
        </w:tc>
      </w:tr>
      <w:tr w:rsidR="00C96A5B" w:rsidTr="00E558D1">
        <w:tc>
          <w:tcPr>
            <w:tcW w:w="675" w:type="dxa"/>
            <w:hideMark/>
          </w:tcPr>
          <w:p w:rsidR="00C96A5B" w:rsidRDefault="00C96A5B" w:rsidP="00E558D1">
            <w:pPr>
              <w:jc w:val="center"/>
            </w:pPr>
            <w:r>
              <w:t>17.</w:t>
            </w:r>
          </w:p>
        </w:tc>
        <w:tc>
          <w:tcPr>
            <w:tcW w:w="1701" w:type="dxa"/>
            <w:hideMark/>
          </w:tcPr>
          <w:p w:rsidR="00C96A5B" w:rsidRDefault="00C96A5B" w:rsidP="00E558D1">
            <w:r>
              <w:t>PN-EN 1744-1</w:t>
            </w:r>
          </w:p>
        </w:tc>
        <w:tc>
          <w:tcPr>
            <w:tcW w:w="6980" w:type="dxa"/>
            <w:hideMark/>
          </w:tcPr>
          <w:p w:rsidR="00C96A5B" w:rsidRDefault="00C96A5B" w:rsidP="00E558D1">
            <w:r>
              <w:t>Badania chemicznych właściwości kruszyw – Analiza chemiczna</w:t>
            </w:r>
          </w:p>
        </w:tc>
      </w:tr>
      <w:tr w:rsidR="00C96A5B" w:rsidTr="00E558D1">
        <w:tc>
          <w:tcPr>
            <w:tcW w:w="675" w:type="dxa"/>
            <w:hideMark/>
          </w:tcPr>
          <w:p w:rsidR="00C96A5B" w:rsidRDefault="00C96A5B" w:rsidP="00E558D1">
            <w:pPr>
              <w:jc w:val="center"/>
            </w:pPr>
            <w:r>
              <w:t>18.</w:t>
            </w:r>
          </w:p>
        </w:tc>
        <w:tc>
          <w:tcPr>
            <w:tcW w:w="1701" w:type="dxa"/>
            <w:hideMark/>
          </w:tcPr>
          <w:p w:rsidR="00C96A5B" w:rsidRDefault="00C96A5B" w:rsidP="00E558D1">
            <w:r>
              <w:t>PN-EN 1744-3</w:t>
            </w:r>
          </w:p>
        </w:tc>
        <w:tc>
          <w:tcPr>
            <w:tcW w:w="6980" w:type="dxa"/>
            <w:hideMark/>
          </w:tcPr>
          <w:p w:rsidR="00C96A5B" w:rsidRDefault="00C96A5B" w:rsidP="00E558D1">
            <w:r>
              <w:t>Badania chemicznych właściwości kruszyw – Część 3: Przygotowanie wyciągów przez wymywanie kruszyw</w:t>
            </w:r>
          </w:p>
        </w:tc>
      </w:tr>
      <w:tr w:rsidR="00C96A5B" w:rsidTr="00E558D1">
        <w:tc>
          <w:tcPr>
            <w:tcW w:w="675" w:type="dxa"/>
            <w:hideMark/>
          </w:tcPr>
          <w:p w:rsidR="00C96A5B" w:rsidRDefault="00C96A5B" w:rsidP="00E558D1">
            <w:pPr>
              <w:jc w:val="center"/>
            </w:pPr>
            <w:r>
              <w:t>19.</w:t>
            </w:r>
          </w:p>
        </w:tc>
        <w:tc>
          <w:tcPr>
            <w:tcW w:w="1701" w:type="dxa"/>
            <w:hideMark/>
          </w:tcPr>
          <w:p w:rsidR="00C96A5B" w:rsidRDefault="00C96A5B" w:rsidP="00E558D1">
            <w:r>
              <w:t>PN-EN 13242</w:t>
            </w:r>
          </w:p>
        </w:tc>
        <w:tc>
          <w:tcPr>
            <w:tcW w:w="6980" w:type="dxa"/>
            <w:hideMark/>
          </w:tcPr>
          <w:p w:rsidR="00C96A5B" w:rsidRDefault="00C96A5B" w:rsidP="00E558D1">
            <w:r>
              <w:t>Kruszywa do niezwiązanych i związanych hydraulicznie materiałów stosowanych w obiektach budowlanych i budownictwie drogowym</w:t>
            </w:r>
          </w:p>
        </w:tc>
      </w:tr>
      <w:tr w:rsidR="00C96A5B" w:rsidTr="00E558D1">
        <w:tc>
          <w:tcPr>
            <w:tcW w:w="675" w:type="dxa"/>
            <w:hideMark/>
          </w:tcPr>
          <w:p w:rsidR="00C96A5B" w:rsidRDefault="00C96A5B" w:rsidP="00E558D1">
            <w:pPr>
              <w:jc w:val="center"/>
            </w:pPr>
            <w:r>
              <w:t>20.</w:t>
            </w:r>
          </w:p>
        </w:tc>
        <w:tc>
          <w:tcPr>
            <w:tcW w:w="1701" w:type="dxa"/>
            <w:hideMark/>
          </w:tcPr>
          <w:p w:rsidR="00C96A5B" w:rsidRDefault="00C96A5B" w:rsidP="00E558D1">
            <w:r>
              <w:t>PN-EN 13286-2</w:t>
            </w:r>
          </w:p>
        </w:tc>
        <w:tc>
          <w:tcPr>
            <w:tcW w:w="6980" w:type="dxa"/>
            <w:hideMark/>
          </w:tcPr>
          <w:p w:rsidR="00C96A5B" w:rsidRDefault="00C96A5B" w:rsidP="00E558D1">
            <w:r>
              <w:t>Mieszanki niezwiązane i związane spoiwem hydraulicznym – Część 2: Metody określania gęstości i zawartości wody – Zagęszczanie metodą Proctora</w:t>
            </w:r>
          </w:p>
        </w:tc>
      </w:tr>
      <w:tr w:rsidR="00C96A5B" w:rsidTr="00E558D1">
        <w:tc>
          <w:tcPr>
            <w:tcW w:w="675" w:type="dxa"/>
            <w:hideMark/>
          </w:tcPr>
          <w:p w:rsidR="00C96A5B" w:rsidRDefault="00C96A5B" w:rsidP="00E558D1">
            <w:pPr>
              <w:jc w:val="center"/>
            </w:pPr>
            <w:r>
              <w:t>21.</w:t>
            </w:r>
          </w:p>
        </w:tc>
        <w:tc>
          <w:tcPr>
            <w:tcW w:w="1701" w:type="dxa"/>
            <w:hideMark/>
          </w:tcPr>
          <w:p w:rsidR="00C96A5B" w:rsidRDefault="00C96A5B" w:rsidP="00E558D1">
            <w:r>
              <w:t>PN-EN 13286-41</w:t>
            </w:r>
          </w:p>
        </w:tc>
        <w:tc>
          <w:tcPr>
            <w:tcW w:w="6980" w:type="dxa"/>
            <w:hideMark/>
          </w:tcPr>
          <w:p w:rsidR="00C96A5B" w:rsidRDefault="00C96A5B" w:rsidP="00E558D1">
            <w:r>
              <w:t>Mieszanki niezwiązane i związane spoiwem hydraulicznym – Część 41: Metoda oznaczania wytrzymałości na ściskanie mieszanek związanych spoiwem hydraulicznym</w:t>
            </w:r>
          </w:p>
        </w:tc>
      </w:tr>
      <w:tr w:rsidR="00C96A5B" w:rsidTr="00E558D1">
        <w:tc>
          <w:tcPr>
            <w:tcW w:w="675" w:type="dxa"/>
            <w:hideMark/>
          </w:tcPr>
          <w:p w:rsidR="00C96A5B" w:rsidRDefault="00C96A5B" w:rsidP="00E558D1">
            <w:pPr>
              <w:jc w:val="center"/>
            </w:pPr>
            <w:r>
              <w:t>22.</w:t>
            </w:r>
          </w:p>
        </w:tc>
        <w:tc>
          <w:tcPr>
            <w:tcW w:w="1701" w:type="dxa"/>
            <w:hideMark/>
          </w:tcPr>
          <w:p w:rsidR="00C96A5B" w:rsidRDefault="00C96A5B" w:rsidP="00E558D1">
            <w:r>
              <w:t>PN-EN 13286-50</w:t>
            </w:r>
          </w:p>
        </w:tc>
        <w:tc>
          <w:tcPr>
            <w:tcW w:w="6980" w:type="dxa"/>
            <w:hideMark/>
          </w:tcPr>
          <w:p w:rsidR="00C96A5B" w:rsidRDefault="00C96A5B" w:rsidP="00E558D1">
            <w:r>
              <w:t>Mieszanki niezwiązane i związane spoiwem hydraulicznym – Część 50: Metoda sporządzania próbek związanych hydraulicznie za pomocą aparatu Proctora lub zagęszczania na stole wibracyjnym</w:t>
            </w:r>
          </w:p>
        </w:tc>
      </w:tr>
      <w:tr w:rsidR="00C96A5B" w:rsidTr="00E558D1">
        <w:tc>
          <w:tcPr>
            <w:tcW w:w="675" w:type="dxa"/>
            <w:hideMark/>
          </w:tcPr>
          <w:p w:rsidR="00C96A5B" w:rsidRDefault="00C96A5B" w:rsidP="00E558D1">
            <w:pPr>
              <w:jc w:val="center"/>
            </w:pPr>
            <w:r>
              <w:t>23.</w:t>
            </w:r>
          </w:p>
        </w:tc>
        <w:tc>
          <w:tcPr>
            <w:tcW w:w="1701" w:type="dxa"/>
            <w:hideMark/>
          </w:tcPr>
          <w:p w:rsidR="00C96A5B" w:rsidRDefault="00C96A5B" w:rsidP="00E558D1">
            <w:r>
              <w:t>PN-EN 14227-1</w:t>
            </w:r>
          </w:p>
        </w:tc>
        <w:tc>
          <w:tcPr>
            <w:tcW w:w="6980" w:type="dxa"/>
            <w:hideMark/>
          </w:tcPr>
          <w:p w:rsidR="00C96A5B" w:rsidRDefault="00C96A5B" w:rsidP="00E558D1">
            <w:r>
              <w:t>Mieszanki związane spoiwem hydraulicznym – Wymagania – Część 1: Mieszanki związane cementem</w:t>
            </w:r>
          </w:p>
        </w:tc>
      </w:tr>
      <w:tr w:rsidR="00C96A5B" w:rsidTr="00E558D1">
        <w:tc>
          <w:tcPr>
            <w:tcW w:w="675" w:type="dxa"/>
            <w:hideMark/>
          </w:tcPr>
          <w:p w:rsidR="00C96A5B" w:rsidRDefault="00C96A5B" w:rsidP="00E558D1">
            <w:pPr>
              <w:jc w:val="center"/>
            </w:pPr>
            <w:r>
              <w:t>24.</w:t>
            </w:r>
          </w:p>
        </w:tc>
        <w:tc>
          <w:tcPr>
            <w:tcW w:w="1701" w:type="dxa"/>
            <w:hideMark/>
          </w:tcPr>
          <w:p w:rsidR="00C96A5B" w:rsidRDefault="00C96A5B" w:rsidP="00E558D1">
            <w:r>
              <w:t>PN-EN 14227-10</w:t>
            </w:r>
          </w:p>
        </w:tc>
        <w:tc>
          <w:tcPr>
            <w:tcW w:w="6980" w:type="dxa"/>
            <w:hideMark/>
          </w:tcPr>
          <w:p w:rsidR="00C96A5B" w:rsidRDefault="00C96A5B" w:rsidP="00E558D1">
            <w:r>
              <w:t>Mieszanki związane spoiwem hydraulicznym – Specyfikacja – Część 10: Grunty stabilizowane cementem</w:t>
            </w:r>
          </w:p>
        </w:tc>
      </w:tr>
    </w:tbl>
    <w:p w:rsidR="00C96A5B" w:rsidRDefault="00C96A5B" w:rsidP="00C96A5B">
      <w:pPr>
        <w:pStyle w:val="Nagwek2"/>
      </w:pPr>
      <w:r>
        <w:lastRenderedPageBreak/>
        <w:t>10.3. Inne dokumenty</w:t>
      </w:r>
    </w:p>
    <w:p w:rsidR="00C96A5B" w:rsidRDefault="00C96A5B" w:rsidP="00B4292E">
      <w:pPr>
        <w:numPr>
          <w:ilvl w:val="0"/>
          <w:numId w:val="68"/>
        </w:numPr>
        <w:overflowPunct w:val="0"/>
        <w:autoSpaceDE w:val="0"/>
        <w:autoSpaceDN w:val="0"/>
        <w:adjustRightInd w:val="0"/>
        <w:spacing w:after="0" w:line="240" w:lineRule="auto"/>
        <w:ind w:hanging="425"/>
        <w:jc w:val="both"/>
      </w:pPr>
      <w:r>
        <w:t>Mieszanki związane spoiwem hydraulicznym do dróg krajowych – WT-5 2010 Wymagania techniczne (zalecone do stosowania w specyfikacji technicznej na roboty budowlane na drogach krajowych wg zarządzenia nr 102 GDDKiA z dnia 19.11.2010 r.)</w:t>
      </w:r>
    </w:p>
    <w:p w:rsidR="00C96A5B" w:rsidRDefault="00C96A5B" w:rsidP="00B4292E">
      <w:pPr>
        <w:numPr>
          <w:ilvl w:val="0"/>
          <w:numId w:val="68"/>
        </w:numPr>
        <w:overflowPunct w:val="0"/>
        <w:autoSpaceDE w:val="0"/>
        <w:autoSpaceDN w:val="0"/>
        <w:adjustRightInd w:val="0"/>
        <w:spacing w:after="0" w:line="240" w:lineRule="auto"/>
        <w:ind w:hanging="425"/>
        <w:jc w:val="both"/>
      </w:pPr>
      <w:r>
        <w:t>Rozporządzenie Ministra Transportu i Gospodarki Morskiej z dnia 2 marca 1999 r. w sprawie warunków technicznych, jakim powinny odpowiadać drogi publiczne i ich usytuowanie (Dz.U. nr 43, poz. 430)</w:t>
      </w:r>
    </w:p>
    <w:p w:rsidR="00C96A5B" w:rsidRDefault="00C96A5B" w:rsidP="00B4292E">
      <w:pPr>
        <w:numPr>
          <w:ilvl w:val="0"/>
          <w:numId w:val="68"/>
        </w:numPr>
        <w:overflowPunct w:val="0"/>
        <w:autoSpaceDE w:val="0"/>
        <w:autoSpaceDN w:val="0"/>
        <w:adjustRightInd w:val="0"/>
        <w:spacing w:after="0" w:line="240" w:lineRule="auto"/>
        <w:ind w:hanging="425"/>
        <w:jc w:val="both"/>
      </w:pPr>
      <w:r>
        <w:t>Katalog typowych konstrukcji nawierzchni podatnych i półsztywnych. Generalna Dyrekcja Dróg Publicznych – Instytut Badawczy Dróg i Mostów, Warszawa 1997</w:t>
      </w:r>
    </w:p>
    <w:p w:rsidR="00C96A5B" w:rsidRDefault="00C96A5B" w:rsidP="00C96A5B"/>
    <w:p w:rsidR="00C96A5B" w:rsidRDefault="00C96A5B" w:rsidP="00C96A5B">
      <w:pPr>
        <w:pStyle w:val="Nagwek1"/>
        <w:jc w:val="center"/>
      </w:pPr>
      <w:bookmarkStart w:id="652" w:name="_Toc332010321"/>
      <w:r>
        <w:t>11. ZAŁĄCZNIK</w:t>
      </w:r>
      <w:bookmarkEnd w:id="652"/>
    </w:p>
    <w:p w:rsidR="00C96A5B" w:rsidRDefault="00C96A5B" w:rsidP="00C96A5B">
      <w:pPr>
        <w:spacing w:before="120" w:after="120"/>
        <w:jc w:val="center"/>
        <w:rPr>
          <w:b/>
        </w:rPr>
      </w:pPr>
      <w:r>
        <w:rPr>
          <w:b/>
        </w:rPr>
        <w:t>PODSTAWY  FORMALNE  OPRACOWANIA  OST</w:t>
      </w:r>
    </w:p>
    <w:p w:rsidR="00C96A5B" w:rsidRDefault="00C96A5B" w:rsidP="00C96A5B">
      <w:r>
        <w:tab/>
        <w:t>W 2007 r. wprowadzono do zbioru Polskich Norm normę PN-EN 14227-1 „Mieszanki związane spoiwem hydraulicznym – Wymagania – Część 1: Mieszanki związane cementem” [23], opublikowaną w języku polskim. Norma jest normą klasyfikacyjną, nie określającą bezpośrednio wymagań wobec mieszanek do konkretnych zastosowań. Wprowadzenie normy do praktycznego stosowania umożliwia krajowy dokument aplikacyjny „Mieszanki związane spoiwem hydraulicznym do dróg krajowych – WT-5 2010 Wymagania techniczne” [25] zalecony do stosowania w specyfikacjach technicznych wykonania i odbioru robót budowlanych, zarządzeniem nr 102 Generalnego Dyrektora Dróg Krajowych i Autostrad z 19 listopada 2010 r.</w:t>
      </w:r>
    </w:p>
    <w:p w:rsidR="00C96A5B" w:rsidRDefault="00C96A5B" w:rsidP="00C96A5B">
      <w:r>
        <w:tab/>
        <w:t>Wyżej wymienione dwa dokumenty są podstawą do opracowania niniejszej OST.</w:t>
      </w:r>
    </w:p>
    <w:p w:rsidR="00C96A5B" w:rsidRDefault="00C96A5B" w:rsidP="00C96A5B">
      <w:r>
        <w:tab/>
        <w:t>Norma PN-EN 14227-1 wprowadza stosowanie kruszyw zgodnych z normą PN-EN 13242 [19]. Nowością jest dopuszczenie kruszyw sztucznych oraz kruszyw z recyklingu, a także oznaczenia pozaklasowe, o parametrach deklarowanych.</w:t>
      </w:r>
    </w:p>
    <w:p w:rsidR="00C96A5B" w:rsidRDefault="00C96A5B" w:rsidP="00C96A5B">
      <w:r>
        <w:tab/>
        <w:t>Określony normą PN-EN 14227-1 [23] zakres wytrzymałości na ściskanie mieszanek z kruszyw związanych cementem wynosi od 1,5 do 20 MPa. W tym przedziale mieszczą się wytrzymałości na ściskanie, charakteryzujące dotychczas stosowane w kraju mieszanki z chudego betonu (6÷9 MPa).</w:t>
      </w:r>
    </w:p>
    <w:p w:rsidR="00C96A5B" w:rsidRDefault="00C96A5B" w:rsidP="00C96A5B">
      <w:r>
        <w:tab/>
        <w:t>Dotychczasowa normalizacja polska nie przewidywała oddzielnych norm PN dla kruszyw i gruntów stabilizowanych cementem. Obecnie w normach europejskich problem ten ujęto w dwóch normach:</w:t>
      </w:r>
    </w:p>
    <w:p w:rsidR="00C96A5B" w:rsidRDefault="00C96A5B" w:rsidP="00B4292E">
      <w:pPr>
        <w:numPr>
          <w:ilvl w:val="0"/>
          <w:numId w:val="69"/>
        </w:numPr>
        <w:overflowPunct w:val="0"/>
        <w:autoSpaceDE w:val="0"/>
        <w:autoSpaceDN w:val="0"/>
        <w:adjustRightInd w:val="0"/>
        <w:spacing w:after="0" w:line="240" w:lineRule="auto"/>
        <w:jc w:val="both"/>
      </w:pPr>
      <w:r>
        <w:t>PN-EN 14227-1 [23], dotyczącej kruszyw związanych cementem,</w:t>
      </w:r>
    </w:p>
    <w:p w:rsidR="00C96A5B" w:rsidRDefault="00C96A5B" w:rsidP="00B4292E">
      <w:pPr>
        <w:numPr>
          <w:ilvl w:val="0"/>
          <w:numId w:val="69"/>
        </w:numPr>
        <w:overflowPunct w:val="0"/>
        <w:autoSpaceDE w:val="0"/>
        <w:autoSpaceDN w:val="0"/>
        <w:adjustRightInd w:val="0"/>
        <w:spacing w:after="0" w:line="240" w:lineRule="auto"/>
        <w:jc w:val="both"/>
      </w:pPr>
      <w:r>
        <w:t>PN-EN 14227-10 [24], dotyczącej gruntów ulepszonych cementem.</w:t>
      </w:r>
    </w:p>
    <w:p w:rsidR="00C96A5B" w:rsidRDefault="00C96A5B" w:rsidP="00C96A5B">
      <w:pPr>
        <w:ind w:firstLine="709"/>
      </w:pPr>
      <w:r>
        <w:t>Niniejsza OST nie dotyczy gruntów, lecz dotyczy tylko kruszyw związanych cementem, zastosowanych w podbudowie zasadniczej i pomocniczej oraz w podłożu ulepszonym. Warstwy nawierzchni ujęte w OST przedstawiono na rysunku warstw konstrukcji nawierzchni drogowej podatnej i półsztywnej.</w:t>
      </w:r>
    </w:p>
    <w:p w:rsidR="00C96A5B" w:rsidRDefault="00C96A5B" w:rsidP="00C96A5B">
      <w:pPr>
        <w:spacing w:before="120"/>
      </w:pPr>
      <w:r>
        <w:t xml:space="preserve">Rys. 1. Układ warstw w konstrukcji nawierzchni drogowej podatnej i półsztywnej </w:t>
      </w:r>
    </w:p>
    <w:p w:rsidR="00C96A5B" w:rsidRDefault="00C96A5B" w:rsidP="00C96A5B">
      <w:pPr>
        <w:spacing w:after="120"/>
        <w:ind w:left="709"/>
      </w:pPr>
      <w:r>
        <w:t>(wg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652"/>
        <w:gridCol w:w="1985"/>
        <w:gridCol w:w="1842"/>
      </w:tblGrid>
      <w:tr w:rsidR="00C96A5B" w:rsidTr="00E558D1">
        <w:tc>
          <w:tcPr>
            <w:tcW w:w="56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96A5B" w:rsidRDefault="00C96A5B" w:rsidP="00E558D1">
            <w:r>
              <w:t>warstwa ścieralna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C96A5B" w:rsidRDefault="00C96A5B" w:rsidP="00E558D1">
            <w:pPr>
              <w:jc w:val="center"/>
            </w:pPr>
          </w:p>
          <w:p w:rsidR="00C96A5B" w:rsidRDefault="00C96A5B" w:rsidP="00E558D1">
            <w:pPr>
              <w:jc w:val="center"/>
            </w:pPr>
            <w:r>
              <w:t>nawierzchnia</w:t>
            </w:r>
          </w:p>
        </w:tc>
      </w:tr>
      <w:tr w:rsidR="00C96A5B" w:rsidTr="00E558D1">
        <w:tc>
          <w:tcPr>
            <w:tcW w:w="56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96A5B" w:rsidRDefault="00C96A5B" w:rsidP="00E558D1">
            <w:r>
              <w:t>warstwa wiążąca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6A5B" w:rsidRDefault="00C96A5B" w:rsidP="00E558D1"/>
        </w:tc>
      </w:tr>
      <w:tr w:rsidR="00C96A5B" w:rsidTr="00E558D1">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96A5B" w:rsidRDefault="00C96A5B" w:rsidP="00E558D1">
            <w:r>
              <w:t>podbudowa zasadnicza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96A5B" w:rsidRDefault="00C96A5B" w:rsidP="00E558D1">
            <w:pPr>
              <w:spacing w:before="120"/>
              <w:jc w:val="center"/>
            </w:pPr>
            <w:r>
              <w:t>podbudowa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6A5B" w:rsidRDefault="00C96A5B" w:rsidP="00E558D1"/>
        </w:tc>
      </w:tr>
      <w:tr w:rsidR="00C96A5B" w:rsidTr="00E558D1">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96A5B" w:rsidRDefault="00C96A5B" w:rsidP="00E558D1">
            <w:r>
              <w:lastRenderedPageBreak/>
              <w:t>podbudowa pomocnicza</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6A5B" w:rsidRDefault="00C96A5B" w:rsidP="00E558D1"/>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6A5B" w:rsidRDefault="00C96A5B" w:rsidP="00E558D1"/>
        </w:tc>
      </w:tr>
      <w:tr w:rsidR="00C96A5B" w:rsidTr="00E558D1">
        <w:tc>
          <w:tcPr>
            <w:tcW w:w="56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96A5B" w:rsidRDefault="00C96A5B" w:rsidP="00E558D1">
            <w:pPr>
              <w:rPr>
                <w:sz w:val="18"/>
                <w:szCs w:val="18"/>
              </w:rPr>
            </w:pPr>
            <w:r>
              <w:t xml:space="preserve">podłoże ulepszone </w:t>
            </w:r>
            <w:r>
              <w:rPr>
                <w:sz w:val="18"/>
                <w:szCs w:val="18"/>
              </w:rPr>
              <w:t>(warstwa mrozoochronna, odcinająca, wzmacniająca)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96A5B" w:rsidRDefault="00C96A5B" w:rsidP="00E558D1">
            <w:pPr>
              <w:spacing w:before="120"/>
              <w:jc w:val="center"/>
            </w:pPr>
            <w:r>
              <w:t>podłoże</w:t>
            </w:r>
          </w:p>
        </w:tc>
      </w:tr>
      <w:tr w:rsidR="00C96A5B" w:rsidTr="00E558D1">
        <w:tc>
          <w:tcPr>
            <w:tcW w:w="563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96A5B" w:rsidRDefault="00C96A5B" w:rsidP="00E558D1">
            <w:r>
              <w:t>podłoże gruntowe</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6A5B" w:rsidRDefault="00C96A5B" w:rsidP="00E558D1"/>
        </w:tc>
      </w:tr>
    </w:tbl>
    <w:p w:rsidR="00C96A5B" w:rsidRDefault="00C96A5B" w:rsidP="00C96A5B">
      <w:pPr>
        <w:rPr>
          <w:b/>
        </w:rPr>
      </w:pPr>
    </w:p>
    <w:p w:rsidR="00C96A5B" w:rsidRDefault="00C96A5B" w:rsidP="00C96A5B">
      <w:pPr>
        <w:rPr>
          <w:b/>
        </w:rPr>
      </w:pPr>
    </w:p>
    <w:p w:rsidR="00C96A5B" w:rsidRDefault="00C96A5B" w:rsidP="00C96A5B">
      <w:pPr>
        <w:rPr>
          <w:b/>
        </w:rPr>
      </w:pPr>
    </w:p>
    <w:p w:rsidR="00C96A5B" w:rsidRDefault="00C96A5B" w:rsidP="00C96A5B">
      <w:pPr>
        <w:rPr>
          <w:b/>
        </w:rPr>
      </w:pPr>
      <w:r>
        <w:rPr>
          <w:b/>
          <w:noProof/>
          <w:lang w:eastAsia="pl-PL"/>
        </w:rPr>
        <w:drawing>
          <wp:inline distT="0" distB="0" distL="0" distR="0" wp14:anchorId="5DE7F1EA" wp14:editId="26388590">
            <wp:extent cx="5362575" cy="2609850"/>
            <wp:effectExtent l="0" t="0" r="9525" b="0"/>
            <wp:docPr id="22" name="Obraz 22" descr="ry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ys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62575" cy="2609850"/>
                    </a:xfrm>
                    <a:prstGeom prst="rect">
                      <a:avLst/>
                    </a:prstGeom>
                    <a:noFill/>
                    <a:ln>
                      <a:noFill/>
                    </a:ln>
                  </pic:spPr>
                </pic:pic>
              </a:graphicData>
            </a:graphic>
          </wp:inline>
        </w:drawing>
      </w:r>
    </w:p>
    <w:p w:rsidR="00C96A5B" w:rsidRDefault="00C96A5B" w:rsidP="00B92B47">
      <w:pPr>
        <w:tabs>
          <w:tab w:val="left" w:pos="709"/>
        </w:tabs>
        <w:spacing w:before="120"/>
        <w:ind w:left="709" w:hanging="709"/>
      </w:pPr>
      <w:r>
        <w:t>Rys. 2.</w:t>
      </w:r>
      <w:r>
        <w:tab/>
        <w:t>Schemat technologiczny wytwarzania mieszanki kruszywa związanej cementem w mieszarce o działaniu ciągłym (wg: S. Rolla, M. Rolla i W. Żarnoch – Budowa dróg cz. 1. Wyd. Szkolne i Pedagogiczne, 1993)</w:t>
      </w:r>
    </w:p>
    <w:p w:rsidR="00C96A5B" w:rsidRDefault="00C96A5B" w:rsidP="00C96A5B">
      <w:pPr>
        <w:jc w:val="center"/>
      </w:pPr>
      <w:r>
        <w:rPr>
          <w:b/>
          <w:bCs/>
          <w:sz w:val="28"/>
          <w:szCs w:val="28"/>
        </w:rPr>
        <w:t> </w:t>
      </w:r>
    </w:p>
    <w:p w:rsidR="00C96A5B" w:rsidRDefault="00C753C3" w:rsidP="00C96A5B">
      <w:pPr>
        <w:jc w:val="both"/>
      </w:pPr>
      <w:r>
        <w:rPr>
          <w:b/>
          <w:bCs/>
          <w:sz w:val="28"/>
          <w:szCs w:val="28"/>
        </w:rPr>
        <w:t>IX</w:t>
      </w:r>
      <w:bookmarkStart w:id="653" w:name="_GoBack"/>
      <w:bookmarkEnd w:id="653"/>
      <w:r w:rsidR="00C96A5B">
        <w:rPr>
          <w:b/>
          <w:bCs/>
          <w:sz w:val="28"/>
          <w:szCs w:val="28"/>
        </w:rPr>
        <w:t>. D – 04.04.02b PODBUDOWA  ZASADNICZA</w:t>
      </w:r>
    </w:p>
    <w:p w:rsidR="00C96A5B" w:rsidRDefault="00C96A5B" w:rsidP="00C96A5B">
      <w:pPr>
        <w:jc w:val="center"/>
      </w:pPr>
      <w:r>
        <w:rPr>
          <w:b/>
          <w:bCs/>
          <w:sz w:val="28"/>
          <w:szCs w:val="28"/>
        </w:rPr>
        <w:t>Z  MIESZANKI  KRUSZYWA  NIEZWIĄZANEGO</w:t>
      </w:r>
    </w:p>
    <w:p w:rsidR="00C96A5B" w:rsidRDefault="00C96A5B" w:rsidP="00C96A5B">
      <w:pPr>
        <w:jc w:val="center"/>
      </w:pPr>
      <w:r>
        <w:rPr>
          <w:b/>
          <w:bCs/>
          <w:sz w:val="28"/>
          <w:szCs w:val="28"/>
        </w:rPr>
        <w:t> </w:t>
      </w:r>
    </w:p>
    <w:p w:rsidR="00C96A5B" w:rsidRDefault="00C96A5B" w:rsidP="00C96A5B">
      <w:pPr>
        <w:spacing w:after="120"/>
        <w:jc w:val="center"/>
      </w:pPr>
    </w:p>
    <w:p w:rsidR="00C96A5B" w:rsidRDefault="00C96A5B" w:rsidP="00C96A5B">
      <w:pPr>
        <w:pStyle w:val="Nagwek1"/>
      </w:pPr>
      <w:bookmarkStart w:id="654" w:name="_Toc344981393"/>
      <w:bookmarkEnd w:id="654"/>
      <w:r>
        <w:t xml:space="preserve"> 1. Wstęp</w:t>
      </w:r>
    </w:p>
    <w:p w:rsidR="00C96A5B" w:rsidRDefault="00C96A5B" w:rsidP="00C96A5B">
      <w:pPr>
        <w:pStyle w:val="Nagwek2"/>
      </w:pPr>
      <w:r>
        <w:t>1.1. Przedmiot OST</w:t>
      </w:r>
    </w:p>
    <w:p w:rsidR="00C96A5B" w:rsidRDefault="00C96A5B" w:rsidP="00C96A5B">
      <w:pPr>
        <w:pStyle w:val="Standardowytekst"/>
        <w:rPr>
          <w:rFonts w:eastAsiaTheme="minorEastAsia"/>
        </w:rPr>
      </w:pPr>
      <w:r>
        <w:rPr>
          <w:sz w:val="24"/>
          <w:szCs w:val="24"/>
        </w:rPr>
        <w:t>            Przedmiotem niniejszej ogólnej specyfikacji technicznej (OST) są wymagania dotyczące wykonania i odbioru robót związanych z wykonaniem podbudowy zasadniczej z mieszanki kruszywa niezwiązanego.</w:t>
      </w:r>
    </w:p>
    <w:p w:rsidR="00C96A5B" w:rsidRDefault="00C96A5B" w:rsidP="00C96A5B">
      <w:pPr>
        <w:pStyle w:val="Nagwek2"/>
      </w:pPr>
      <w:r>
        <w:t>1.2. Zakres stosowania OST</w:t>
      </w:r>
    </w:p>
    <w:p w:rsidR="00C96A5B" w:rsidRDefault="00C96A5B" w:rsidP="00C96A5B">
      <w:pPr>
        <w:rPr>
          <w:rFonts w:eastAsiaTheme="minorEastAsia"/>
        </w:rPr>
      </w:pPr>
      <w:r>
        <w:t>            Ogólna specyfikacja techniczna (OST) jest materiałem pomocniczym do  opracowania specyfikacji technicznej wykonania i odbioru robót budowlanych (ST) stosowanej jako dokument przetargowy i kontraktowy przy zlecaniu i realizacji robót na drogach i ulicach.</w:t>
      </w:r>
    </w:p>
    <w:p w:rsidR="00C96A5B" w:rsidRDefault="00C96A5B" w:rsidP="00C96A5B">
      <w:pPr>
        <w:pStyle w:val="Nagwek2"/>
      </w:pPr>
      <w:r>
        <w:lastRenderedPageBreak/>
        <w:t>1.3. Zakres robót objętych OST</w:t>
      </w:r>
    </w:p>
    <w:p w:rsidR="00C96A5B" w:rsidRDefault="00C96A5B" w:rsidP="00C96A5B">
      <w:pPr>
        <w:rPr>
          <w:rFonts w:eastAsiaTheme="minorEastAsia"/>
        </w:rPr>
      </w:pPr>
      <w:r>
        <w:t>            Ustalenia zawarte w niniejszej specyfikacji dotyczą zasad prowadzenia robót związanych z wykonaniem i odbiorem podbudowy zasadniczej z mieszanki kruszywa niezwiązanego, tj. ziarnistego materiału o określonym składzie, w procesie technologicznym, polegającym na odpowiednim zagęszczeniu przy optymalnej wilgotności mieszanki.</w:t>
      </w:r>
    </w:p>
    <w:p w:rsidR="00C96A5B" w:rsidRDefault="00C96A5B" w:rsidP="00C96A5B">
      <w:r>
        <w:t>            Mieszanka niezwiązana może być wytworzona z kruszyw naturalnych, sztucznych, kruszyw z recyklingu oraz mieszanin tych kruszyw w określonych proporcjach.</w:t>
      </w:r>
    </w:p>
    <w:p w:rsidR="00C96A5B" w:rsidRDefault="00C96A5B" w:rsidP="00C96A5B">
      <w:r>
        <w:t>            Podbudowa zasadnicza, stanowiąca górną część podbudowy w nawierzchni drogowej, zapewnia przenoszenie obciążeń z warstw wyżej leżących na warstwę podbudowy pomocniczej i podłoże.</w:t>
      </w:r>
    </w:p>
    <w:p w:rsidR="00C96A5B" w:rsidRDefault="00C96A5B" w:rsidP="00C96A5B">
      <w:pPr>
        <w:ind w:firstLine="709"/>
      </w:pPr>
      <w:r>
        <w:t>Podbudowa zasadnicza z mieszanki kruszywa niezwiązanego może być wykonywana w konstrukcji  drogi obciążonej ruchem kategorii KR1÷KR6.</w:t>
      </w:r>
    </w:p>
    <w:p w:rsidR="00C96A5B" w:rsidRDefault="00C96A5B" w:rsidP="00C96A5B">
      <w:pPr>
        <w:pStyle w:val="Nagwek2"/>
      </w:pPr>
      <w:r>
        <w:t>1.4. Określenia podstawowe</w:t>
      </w:r>
    </w:p>
    <w:p w:rsidR="00C96A5B" w:rsidRDefault="00C96A5B" w:rsidP="00C96A5B">
      <w:pPr>
        <w:pStyle w:val="Bezodstpw"/>
        <w:ind w:firstLine="0"/>
        <w:rPr>
          <w:rFonts w:eastAsiaTheme="minorEastAsia"/>
        </w:rPr>
      </w:pPr>
      <w:r>
        <w:rPr>
          <w:b/>
          <w:bCs/>
        </w:rPr>
        <w:t>1.4.1.</w:t>
      </w:r>
      <w:r>
        <w:t xml:space="preserve"> Mieszanka niezwiązana – ziarnisty materiał, zazwyczaj o określonym składzie ziarnowym (od d=0 do D), który jest stosowany do wykonania ulepszonego podłoża gruntowego oraz warstw konstrukcji nawierzchni dróg. Mieszanka niezwiązana może być wytworzona z kruszyw naturalnych, sztucznych, z recyklingu lub mieszaniny tych kruszyw w określonych proporcjach.</w:t>
      </w:r>
    </w:p>
    <w:p w:rsidR="00C96A5B" w:rsidRDefault="00C96A5B" w:rsidP="00C96A5B">
      <w:pPr>
        <w:pStyle w:val="Bezodstpw"/>
        <w:spacing w:before="120"/>
        <w:ind w:firstLine="0"/>
      </w:pPr>
      <w:r>
        <w:rPr>
          <w:b/>
          <w:bCs/>
        </w:rPr>
        <w:t>1.4.2.</w:t>
      </w:r>
      <w:r>
        <w:t xml:space="preserve"> Kategoria – charakterystyczny poziom właściwości kruszywa lub mieszanki niezwiązanej, wyrażony, jako przedział wartości lub wartość graniczna. Nie ma zależności pomiędzy kategoriami różnych właściwości.</w:t>
      </w:r>
    </w:p>
    <w:p w:rsidR="00C96A5B" w:rsidRDefault="00C96A5B" w:rsidP="00C96A5B">
      <w:pPr>
        <w:pStyle w:val="Bezodstpw"/>
        <w:spacing w:before="120"/>
        <w:ind w:firstLine="0"/>
      </w:pPr>
      <w:r>
        <w:rPr>
          <w:b/>
          <w:bCs/>
        </w:rPr>
        <w:t>1.4.3.</w:t>
      </w:r>
      <w:r>
        <w:t xml:space="preserve"> Kruszywo – materiał ziarnisty stosowany w budownictwie, który może być naturalny, sztuczny lub z recyklingu.</w:t>
      </w:r>
    </w:p>
    <w:p w:rsidR="00C96A5B" w:rsidRDefault="00C96A5B" w:rsidP="00C96A5B">
      <w:pPr>
        <w:pStyle w:val="Bezodstpw"/>
        <w:spacing w:before="120"/>
        <w:ind w:firstLine="0"/>
      </w:pPr>
      <w:r>
        <w:rPr>
          <w:b/>
          <w:bCs/>
        </w:rPr>
        <w:t>1.4.4.</w:t>
      </w:r>
      <w:r>
        <w:t xml:space="preserve"> 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rsidR="00C96A5B" w:rsidRDefault="00C96A5B" w:rsidP="00C96A5B">
      <w:pPr>
        <w:pStyle w:val="Bezodstpw"/>
        <w:spacing w:before="120"/>
        <w:ind w:firstLine="0"/>
      </w:pPr>
      <w:r>
        <w:rPr>
          <w:b/>
          <w:bCs/>
        </w:rPr>
        <w:t>1.4.5.</w:t>
      </w:r>
      <w:r>
        <w:t xml:space="preserve"> Kruszywo sztuczne – kruszywo pochodzenia mineralnego, uzyskiwane w wyniku procesu przemysłowego obejmującego obróbkę termiczną lub inną modyfikację. Do kruszywa sztucznego zalicza się w szczególności kruszywo z żużli: wielkopiecowych, stalowniczych i pomiedziowych.</w:t>
      </w:r>
    </w:p>
    <w:p w:rsidR="00C96A5B" w:rsidRDefault="00C96A5B" w:rsidP="00C96A5B">
      <w:pPr>
        <w:pStyle w:val="Bezodstpw"/>
        <w:spacing w:before="120"/>
        <w:ind w:firstLine="0"/>
      </w:pPr>
      <w:r>
        <w:rPr>
          <w:b/>
          <w:bCs/>
        </w:rPr>
        <w:t>1.4.6.</w:t>
      </w:r>
      <w:r>
        <w:t xml:space="preserve"> Kruszywo z recyklingu – kruszywo powstałe w wyniku przeróbki materiału zastosowanego uprzednio w budownictwie.</w:t>
      </w:r>
    </w:p>
    <w:p w:rsidR="00C96A5B" w:rsidRDefault="00C96A5B" w:rsidP="00C96A5B">
      <w:pPr>
        <w:pStyle w:val="Bezodstpw"/>
        <w:spacing w:before="120"/>
        <w:ind w:firstLine="0"/>
      </w:pPr>
      <w:r>
        <w:rPr>
          <w:b/>
          <w:bCs/>
        </w:rPr>
        <w:t>1.4.7.</w:t>
      </w:r>
      <w:r>
        <w:t xml:space="preserve"> Kruszywo kamienne – kruszywo z mineralnych surowców jak żwir kruszony, mechanicznie rozdrobnione skały, nadziarno żwirowe.</w:t>
      </w:r>
    </w:p>
    <w:p w:rsidR="00C96A5B" w:rsidRDefault="00C96A5B" w:rsidP="00C96A5B">
      <w:pPr>
        <w:pStyle w:val="Bezodstpw"/>
        <w:spacing w:before="120"/>
        <w:ind w:firstLine="0"/>
      </w:pPr>
      <w:r>
        <w:rPr>
          <w:b/>
          <w:bCs/>
        </w:rPr>
        <w:t>1.4.8.</w:t>
      </w:r>
      <w:r>
        <w:t xml:space="preserve"> 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rsidR="00C96A5B" w:rsidRDefault="00C96A5B" w:rsidP="00C96A5B">
      <w:pPr>
        <w:pStyle w:val="Bezodstpw"/>
        <w:spacing w:before="120"/>
        <w:ind w:firstLine="0"/>
      </w:pPr>
      <w:r>
        <w:rPr>
          <w:b/>
          <w:bCs/>
        </w:rPr>
        <w:t>1.4.9.</w:t>
      </w:r>
      <w:r>
        <w:t xml:space="preserve"> Kruszywo żużlowe z żużla stalowniczego – kruszywo składające się głównie ze skrystalizowanego krzemianu wapnia i ferrytu zawierającego CaO, SiO</w:t>
      </w:r>
      <w:r>
        <w:rPr>
          <w:vertAlign w:val="subscript"/>
        </w:rPr>
        <w:t>2</w:t>
      </w:r>
      <w:r>
        <w:t xml:space="preserve">, MgO oraz tlenek </w:t>
      </w:r>
      <w:r>
        <w:lastRenderedPageBreak/>
        <w:t xml:space="preserve">żelaza. Kruszywo otrzymuje się przez powolne schładzanie powietrzem ciekłego żużla stalowniczego. Proces chłodzenia może odbywać się przy kontrolowanym dodawaniu wody. </w:t>
      </w:r>
    </w:p>
    <w:p w:rsidR="00C96A5B" w:rsidRDefault="00C96A5B" w:rsidP="00C96A5B">
      <w:pPr>
        <w:pStyle w:val="Bezodstpw"/>
        <w:spacing w:before="120"/>
        <w:ind w:firstLine="0"/>
      </w:pPr>
      <w:r>
        <w:rPr>
          <w:b/>
          <w:bCs/>
        </w:rPr>
        <w:t>1.4.10.</w:t>
      </w:r>
      <w:r>
        <w:t xml:space="preserve"> Kategoria ruchu (KR1÷KR6) – obciążenie drogi ruchem samochodowym, wyrażone w osiach obliczeniowych (100 kN) według „Katalogu typowych konstrukcji nawierzchni podatnych i półsztywnych”. Generalna Dyrekcja Dróg Publicznych – Instytut Badawczy Dróg i Mostów, Warszawa 1997 [22].</w:t>
      </w:r>
    </w:p>
    <w:p w:rsidR="00C96A5B" w:rsidRDefault="00C96A5B" w:rsidP="00C96A5B">
      <w:pPr>
        <w:pStyle w:val="Bezodstpw"/>
        <w:spacing w:before="120"/>
        <w:ind w:firstLine="0"/>
      </w:pPr>
      <w:r>
        <w:rPr>
          <w:b/>
          <w:bCs/>
        </w:rPr>
        <w:t>1.4.11</w:t>
      </w:r>
      <w:r>
        <w:t xml:space="preserve">. Kruszywo grube (wg PN-EN 13242) – oznaczenie kruszywa o wymiarach ziaren </w:t>
      </w:r>
      <w:r>
        <w:rPr>
          <w:i/>
          <w:iCs/>
        </w:rPr>
        <w:t xml:space="preserve">d </w:t>
      </w:r>
      <w:r>
        <w:t xml:space="preserve">(dolnego) równym lub większym niż 1 mm oraz </w:t>
      </w:r>
      <w:r>
        <w:rPr>
          <w:i/>
          <w:iCs/>
        </w:rPr>
        <w:t xml:space="preserve">D </w:t>
      </w:r>
      <w:r>
        <w:t>(górnego) większym niż 2 mm.</w:t>
      </w:r>
    </w:p>
    <w:p w:rsidR="00C96A5B" w:rsidRDefault="00C96A5B" w:rsidP="00C96A5B">
      <w:pPr>
        <w:pStyle w:val="Bezodstpw"/>
        <w:spacing w:before="120"/>
        <w:ind w:firstLine="0"/>
      </w:pPr>
      <w:r>
        <w:rPr>
          <w:b/>
          <w:bCs/>
        </w:rPr>
        <w:t>1.4.12.</w:t>
      </w:r>
      <w:r>
        <w:t xml:space="preserve"> Kruszywo drobne (wg PN-EN 13242) – oznaczenie kruszywa o wymiarach ziaren </w:t>
      </w:r>
      <w:r>
        <w:rPr>
          <w:i/>
          <w:iCs/>
        </w:rPr>
        <w:t>d</w:t>
      </w:r>
      <w:r>
        <w:t xml:space="preserve"> równym 0 oraz </w:t>
      </w:r>
      <w:r>
        <w:rPr>
          <w:i/>
          <w:iCs/>
        </w:rPr>
        <w:t>D</w:t>
      </w:r>
      <w:r>
        <w:t xml:space="preserve"> równym 6,3 mm lub mniejszym. </w:t>
      </w:r>
    </w:p>
    <w:p w:rsidR="00C96A5B" w:rsidRDefault="00C96A5B" w:rsidP="00C96A5B">
      <w:pPr>
        <w:pStyle w:val="Bezodstpw"/>
        <w:spacing w:before="120"/>
        <w:ind w:firstLine="0"/>
      </w:pPr>
      <w:r>
        <w:rPr>
          <w:b/>
          <w:bCs/>
        </w:rPr>
        <w:t>1.4.13.</w:t>
      </w:r>
      <w:r>
        <w:t xml:space="preserve"> Kruszywo o ciągłym uziarnieniu (wg PN-EN 13242) – kruszywo stanowiące mieszankę kruszyw grubych i drobnych, w której </w:t>
      </w:r>
      <w:r>
        <w:rPr>
          <w:i/>
          <w:iCs/>
        </w:rPr>
        <w:t>D</w:t>
      </w:r>
      <w:r>
        <w:t xml:space="preserve"> jest większe niż 6,3 mm.</w:t>
      </w:r>
    </w:p>
    <w:p w:rsidR="00C96A5B" w:rsidRDefault="00C96A5B" w:rsidP="00C96A5B">
      <w:pPr>
        <w:pStyle w:val="Bezodstpw"/>
        <w:spacing w:before="120"/>
        <w:ind w:firstLine="0"/>
      </w:pPr>
      <w:r>
        <w:rPr>
          <w:b/>
          <w:bCs/>
        </w:rPr>
        <w:t>1.4.14.</w:t>
      </w:r>
      <w:r>
        <w:t xml:space="preserve"> Destrukt asfaltowy – materiał drogowy pochodzący z frezowania istniejących warstw z mieszanek mineralno-asfaltowych (mma) lub z przekruszenia kawałków warstw nawierzchni asfaltowych oraz niewbudowanych partii mma, który został ujednorodniony pod względem składu oraz co najmniej przesiany, w celu odrzucenia dużych kawałków mma (nadziarno nie większe od 1,4 D mieszanki niezwiązanej).</w:t>
      </w:r>
    </w:p>
    <w:p w:rsidR="00C96A5B" w:rsidRDefault="00C96A5B" w:rsidP="00C96A5B">
      <w:pPr>
        <w:pStyle w:val="Bezodstpw"/>
        <w:spacing w:before="120"/>
        <w:ind w:firstLine="0"/>
      </w:pPr>
      <w:r>
        <w:rPr>
          <w:b/>
          <w:bCs/>
        </w:rPr>
        <w:t>1.4.15.</w:t>
      </w:r>
      <w:r>
        <w:t xml:space="preserve"> Kruszywo słabe – kruszywo przewidziane do zastosowania w mieszance przeznaczonej do wykonywania warstw nawierzchni drogowej lub podłoża ulepszonego, które charakteryzuje się różnicami w uziarnieniu przed i po 5-krotnym zagęszczeniu metodą Proctora, przekraczającymi ± 8%. Uziarnienie kruszywa należy sprawdzać na sitach przewidzianych do kontroli uziarnienia wg PN-EN 13285 i niniejszej OST. O zakwalifikowaniu kruszywa do kruszyw słabych decyduje największa różnica wartości przesiewów na jednym z sit kontrolnych. </w:t>
      </w:r>
    </w:p>
    <w:p w:rsidR="00C96A5B" w:rsidRDefault="00C96A5B" w:rsidP="00C96A5B">
      <w:pPr>
        <w:pStyle w:val="Bezodstpw"/>
        <w:spacing w:before="120"/>
        <w:ind w:firstLine="0"/>
      </w:pPr>
      <w:r>
        <w:rPr>
          <w:b/>
          <w:bCs/>
        </w:rPr>
        <w:t>1.4.16.</w:t>
      </w:r>
      <w:r>
        <w:t xml:space="preserve"> Podbudowa – dolna część konstrukcji nawierzchni drogi, służąca do przenoszenia obciążeń z ruchu na podłoże. Podbudowa może składać się z podbudowy zasadniczej i pomocniczej, które mogą być wykonywane w kilku warstwach technologicznych.</w:t>
      </w:r>
    </w:p>
    <w:p w:rsidR="00C96A5B" w:rsidRDefault="00C96A5B" w:rsidP="00C96A5B">
      <w:pPr>
        <w:pStyle w:val="Bezodstpw"/>
        <w:spacing w:before="120"/>
        <w:ind w:firstLine="0"/>
      </w:pPr>
      <w:r>
        <w:rPr>
          <w:b/>
          <w:bCs/>
        </w:rPr>
        <w:t>1.4.17.</w:t>
      </w:r>
      <w:r>
        <w:t xml:space="preserve"> Podbudowa zasadnicza – warstwa zapewniająca przenoszenie obciążeń z warstw wyżej leżących na warstwę podbudowy pomocniczej lub podłoże. </w:t>
      </w:r>
    </w:p>
    <w:p w:rsidR="00C96A5B" w:rsidRDefault="00C96A5B" w:rsidP="00C96A5B">
      <w:pPr>
        <w:pStyle w:val="Bezodstpw"/>
        <w:spacing w:before="120" w:after="120"/>
        <w:ind w:firstLine="0"/>
      </w:pPr>
      <w:r>
        <w:rPr>
          <w:b/>
          <w:bCs/>
        </w:rPr>
        <w:t>1.4.18.</w:t>
      </w:r>
      <w:r>
        <w:t xml:space="preserve"> Symbole i skróty dodatkowe</w:t>
      </w:r>
    </w:p>
    <w:p w:rsidR="00C96A5B" w:rsidRDefault="00C96A5B" w:rsidP="00C96A5B">
      <w:pPr>
        <w:pStyle w:val="Bezodstpw"/>
        <w:ind w:firstLine="0"/>
      </w:pPr>
      <w:r>
        <w:t>% m/m   procent masy,</w:t>
      </w:r>
    </w:p>
    <w:p w:rsidR="00C96A5B" w:rsidRDefault="00C96A5B" w:rsidP="00C96A5B">
      <w:pPr>
        <w:pStyle w:val="Bezodstpw"/>
        <w:ind w:firstLine="0"/>
      </w:pPr>
      <w:r>
        <w:t>NR         brak konieczności badania danej cechy,</w:t>
      </w:r>
    </w:p>
    <w:p w:rsidR="00C96A5B" w:rsidRDefault="00C96A5B" w:rsidP="00C96A5B">
      <w:pPr>
        <w:pStyle w:val="Bezodstpw"/>
        <w:ind w:firstLine="0"/>
      </w:pPr>
      <w:r>
        <w:t>CRB       kalifornijski wskaźnik nośności, %</w:t>
      </w:r>
    </w:p>
    <w:p w:rsidR="00C96A5B" w:rsidRDefault="00C96A5B" w:rsidP="00C96A5B">
      <w:pPr>
        <w:pStyle w:val="Bezodstpw"/>
        <w:ind w:left="840" w:hanging="840"/>
      </w:pPr>
      <w:r>
        <w:t>SDV   obszar  uziarnienia,  w  którym  powinna  się mieścić  krzywa  uziarnienia mieszanki (S)  deklarowana przez dostawcę/producenta,</w:t>
      </w:r>
    </w:p>
    <w:p w:rsidR="00C96A5B" w:rsidRDefault="00C96A5B" w:rsidP="00C96A5B">
      <w:pPr>
        <w:pStyle w:val="Bezodstpw"/>
        <w:ind w:left="840" w:hanging="840"/>
      </w:pPr>
      <w:r>
        <w:t>ZKP      zakładowa kontrola produkcji.</w:t>
      </w:r>
    </w:p>
    <w:p w:rsidR="00C96A5B" w:rsidRDefault="00C96A5B" w:rsidP="00C96A5B">
      <w:pPr>
        <w:pStyle w:val="StylIwony"/>
        <w:spacing w:after="0"/>
      </w:pPr>
      <w:r>
        <w:rPr>
          <w:rFonts w:ascii="Times New Roman" w:hAnsi="Times New Roman"/>
          <w:b/>
          <w:bCs/>
        </w:rPr>
        <w:t>1.4.19.</w:t>
      </w:r>
      <w:r>
        <w:rPr>
          <w:b/>
          <w:bCs/>
        </w:rPr>
        <w:t xml:space="preserve"> </w:t>
      </w:r>
      <w:r>
        <w:rPr>
          <w:rFonts w:ascii="Times New Roman" w:hAnsi="Times New Roman"/>
        </w:rPr>
        <w:t>Pozostałe określenia podstawowe są zgodne z obowiązującymi, odpowiednimi polskimi normami i z definicjami podanymi w OST D-M-00.00.00 „Wymagania ogólne” [1], pkt 1.4.</w:t>
      </w:r>
    </w:p>
    <w:p w:rsidR="00C96A5B" w:rsidRDefault="00C96A5B" w:rsidP="00C96A5B">
      <w:pPr>
        <w:pStyle w:val="Nagwek2"/>
      </w:pPr>
      <w:r>
        <w:t>1.5. Ogólne wymagania dotyczące robót</w:t>
      </w:r>
    </w:p>
    <w:p w:rsidR="00C96A5B" w:rsidRDefault="00C96A5B" w:rsidP="00C96A5B">
      <w:pPr>
        <w:pStyle w:val="StylIwony"/>
        <w:spacing w:before="0" w:after="0"/>
        <w:rPr>
          <w:rFonts w:eastAsiaTheme="minorEastAsia"/>
        </w:rPr>
      </w:pPr>
      <w:r>
        <w:rPr>
          <w:rFonts w:ascii="Times New Roman" w:hAnsi="Times New Roman"/>
          <w:b/>
          <w:bCs/>
        </w:rPr>
        <w:t xml:space="preserve">            </w:t>
      </w:r>
      <w:r>
        <w:rPr>
          <w:rFonts w:ascii="Times New Roman" w:hAnsi="Times New Roman"/>
        </w:rPr>
        <w:t>Ogólne wymagania dotyczące robót podano w OST D-M-00.00.00 „Wymagania ogólne” [1], pkt 1.5.</w:t>
      </w:r>
    </w:p>
    <w:p w:rsidR="00C96A5B" w:rsidRDefault="00C96A5B" w:rsidP="00C96A5B">
      <w:pPr>
        <w:pStyle w:val="Nagwek1"/>
      </w:pPr>
      <w:bookmarkStart w:id="655" w:name="_Toc344981394"/>
      <w:r>
        <w:lastRenderedPageBreak/>
        <w:t>2. Materiały</w:t>
      </w:r>
      <w:bookmarkEnd w:id="655"/>
    </w:p>
    <w:p w:rsidR="00C96A5B" w:rsidRDefault="00C96A5B" w:rsidP="00C96A5B">
      <w:pPr>
        <w:pStyle w:val="Nagwek2"/>
      </w:pPr>
      <w:bookmarkStart w:id="656" w:name="_Toc344981395"/>
      <w:r>
        <w:t>2.1. Ogólne wymagania dotyczące materiałów</w:t>
      </w:r>
      <w:bookmarkEnd w:id="656"/>
    </w:p>
    <w:p w:rsidR="00C96A5B" w:rsidRDefault="00C96A5B" w:rsidP="00C96A5B">
      <w:pPr>
        <w:pStyle w:val="StylIwony"/>
        <w:spacing w:before="0" w:after="0"/>
        <w:rPr>
          <w:rFonts w:eastAsiaTheme="minorEastAsia"/>
        </w:rPr>
      </w:pPr>
      <w:r>
        <w:rPr>
          <w:rFonts w:ascii="Times New Roman" w:hAnsi="Times New Roman"/>
          <w:b/>
          <w:bCs/>
        </w:rPr>
        <w:t xml:space="preserve">            </w:t>
      </w:r>
      <w:r>
        <w:rPr>
          <w:rFonts w:ascii="Times New Roman" w:hAnsi="Times New Roman"/>
        </w:rPr>
        <w:t>Ogólne wymagania dotyczące materiałów, ich pozyskiwania i składowania, podano w OST D-M-00.00.00 „Wymagania ogólne” [1], pkt 2.</w:t>
      </w:r>
    </w:p>
    <w:p w:rsidR="00C96A5B" w:rsidRDefault="00C96A5B" w:rsidP="00C96A5B">
      <w:pPr>
        <w:pStyle w:val="Nagwek2"/>
      </w:pPr>
      <w:r>
        <w:t>2.2. Materiały do wykonania robót</w:t>
      </w:r>
    </w:p>
    <w:p w:rsidR="00C96A5B" w:rsidRDefault="00C96A5B" w:rsidP="00C96A5B">
      <w:pPr>
        <w:spacing w:after="120"/>
        <w:rPr>
          <w:rFonts w:eastAsiaTheme="minorEastAsia"/>
        </w:rPr>
      </w:pPr>
      <w:r>
        <w:rPr>
          <w:b/>
          <w:bCs/>
        </w:rPr>
        <w:t xml:space="preserve">2.2.1. </w:t>
      </w:r>
      <w:r>
        <w:t xml:space="preserve"> Zgodność materiałów z dokumentacją projektową </w:t>
      </w:r>
    </w:p>
    <w:p w:rsidR="00C96A5B" w:rsidRDefault="00C96A5B" w:rsidP="00C96A5B">
      <w:pPr>
        <w:spacing w:after="120"/>
      </w:pPr>
      <w:r>
        <w:t>            Materiały do wykonania robót powinny być zgodne z ustaleniami dokumentacji projektowej lub ST.</w:t>
      </w:r>
    </w:p>
    <w:p w:rsidR="00C96A5B" w:rsidRDefault="00C96A5B" w:rsidP="00C96A5B">
      <w:pPr>
        <w:spacing w:after="120"/>
      </w:pPr>
      <w:r>
        <w:rPr>
          <w:b/>
          <w:bCs/>
        </w:rPr>
        <w:t xml:space="preserve">2.2.2. </w:t>
      </w:r>
      <w:r>
        <w:t>Materiały wchodzące w skład mieszanki</w:t>
      </w:r>
    </w:p>
    <w:p w:rsidR="00C96A5B" w:rsidRDefault="00C96A5B" w:rsidP="00C96A5B">
      <w:pPr>
        <w:pStyle w:val="Bezodstpw"/>
        <w:ind w:firstLine="0"/>
      </w:pPr>
      <w:r>
        <w:t>            Materiałami stosowanymi do wytwarzania mieszanek z kruszywa niezwiązanego są:</w:t>
      </w:r>
    </w:p>
    <w:p w:rsidR="00C96A5B" w:rsidRDefault="00C96A5B" w:rsidP="00C96A5B">
      <w:pPr>
        <w:pStyle w:val="Bezodstpw"/>
        <w:ind w:left="397" w:hanging="397"/>
      </w:pPr>
      <w:r>
        <w:t>–</w:t>
      </w:r>
      <w:r>
        <w:rPr>
          <w:sz w:val="14"/>
          <w:szCs w:val="14"/>
        </w:rPr>
        <w:t xml:space="preserve">         </w:t>
      </w:r>
      <w:r>
        <w:t>kruszywo,</w:t>
      </w:r>
    </w:p>
    <w:p w:rsidR="00C96A5B" w:rsidRDefault="00C96A5B" w:rsidP="00C96A5B">
      <w:pPr>
        <w:pStyle w:val="Bezodstpw"/>
        <w:ind w:left="397" w:hanging="397"/>
      </w:pPr>
      <w:r>
        <w:t>–</w:t>
      </w:r>
      <w:r>
        <w:rPr>
          <w:sz w:val="14"/>
          <w:szCs w:val="14"/>
        </w:rPr>
        <w:t xml:space="preserve">         </w:t>
      </w:r>
      <w:r>
        <w:t>woda do zraszania kruszywa.</w:t>
      </w:r>
    </w:p>
    <w:p w:rsidR="00C96A5B" w:rsidRDefault="00C96A5B" w:rsidP="00C96A5B">
      <w:pPr>
        <w:pStyle w:val="Bezodstpw"/>
        <w:spacing w:before="120" w:after="120"/>
        <w:ind w:firstLine="0"/>
      </w:pPr>
      <w:r>
        <w:rPr>
          <w:b/>
          <w:bCs/>
        </w:rPr>
        <w:t>2.2.3</w:t>
      </w:r>
      <w:r>
        <w:t>. Kruszywa</w:t>
      </w:r>
    </w:p>
    <w:p w:rsidR="00C96A5B" w:rsidRDefault="00C96A5B" w:rsidP="00C96A5B">
      <w:r>
        <w:t>          Do mieszanek można stosować następujące rodzaje kruszyw:</w:t>
      </w:r>
    </w:p>
    <w:p w:rsidR="00C96A5B" w:rsidRDefault="00C96A5B" w:rsidP="00C96A5B">
      <w:pPr>
        <w:ind w:left="283" w:hanging="283"/>
      </w:pPr>
      <w:r>
        <w:t>a)</w:t>
      </w:r>
      <w:r>
        <w:rPr>
          <w:sz w:val="14"/>
          <w:szCs w:val="14"/>
        </w:rPr>
        <w:t xml:space="preserve">    </w:t>
      </w:r>
      <w:r>
        <w:t>kruszywo naturalne lub sztuczne,</w:t>
      </w:r>
    </w:p>
    <w:p w:rsidR="00C96A5B" w:rsidRDefault="00C96A5B" w:rsidP="00C96A5B">
      <w:pPr>
        <w:ind w:left="283" w:hanging="283"/>
      </w:pPr>
      <w:r>
        <w:t>b)</w:t>
      </w:r>
      <w:r>
        <w:rPr>
          <w:sz w:val="14"/>
          <w:szCs w:val="14"/>
        </w:rPr>
        <w:t xml:space="preserve">   </w:t>
      </w:r>
      <w:r>
        <w:t>kruszywo z recyklingu,</w:t>
      </w:r>
    </w:p>
    <w:p w:rsidR="00C96A5B" w:rsidRDefault="00C96A5B" w:rsidP="00C96A5B">
      <w:pPr>
        <w:ind w:left="283" w:hanging="283"/>
      </w:pPr>
      <w:r>
        <w:t>c)</w:t>
      </w:r>
      <w:r>
        <w:rPr>
          <w:sz w:val="14"/>
          <w:szCs w:val="14"/>
        </w:rPr>
        <w:t xml:space="preserve">    </w:t>
      </w:r>
      <w:r>
        <w:t>połączenie kruszyw wymienionych w punktach a) i b) z określeniem proporcji kruszyw z a) i b) z dokładnością ± 5% m/m.</w:t>
      </w:r>
    </w:p>
    <w:p w:rsidR="00C96A5B" w:rsidRDefault="00C96A5B" w:rsidP="00C96A5B">
      <w:pPr>
        <w:ind w:firstLine="283"/>
      </w:pPr>
      <w:r>
        <w:t>Wymagania wobec kruszywa do warstwy podbudowy zasadniczej przedstawia tablica 1.</w:t>
      </w:r>
    </w:p>
    <w:p w:rsidR="00C96A5B" w:rsidRDefault="00C96A5B" w:rsidP="00C96A5B">
      <w:pPr>
        <w:ind w:firstLine="600"/>
      </w:pPr>
      <w:r>
        <w:t>Mieszanki o górnym wymiarze ziaren (D) większym niż 80 mm nie są objęte normą PN-EN 13285 [17] i niniejszą OST.</w:t>
      </w:r>
    </w:p>
    <w:p w:rsidR="00C96A5B" w:rsidRDefault="00C96A5B" w:rsidP="00C96A5B">
      <w:r>
        <w:t> </w:t>
      </w:r>
    </w:p>
    <w:p w:rsidR="00C96A5B" w:rsidRDefault="00C96A5B" w:rsidP="00C96A5B">
      <w:pPr>
        <w:pStyle w:val="Bezodstpw"/>
        <w:ind w:left="1200" w:hanging="1200"/>
      </w:pPr>
      <w:r>
        <w:t xml:space="preserve">Tablica 1.    Wymagania według WT-4 [20] i PN-EN 13242 [16] wobec kruszyw do mieszanek niezwiązanych w warstwie podbudowy zasadniczej </w:t>
      </w:r>
    </w:p>
    <w:p w:rsidR="00C96A5B" w:rsidRDefault="00C96A5B" w:rsidP="00C96A5B">
      <w:pPr>
        <w:pStyle w:val="Bezodstpw"/>
        <w:spacing w:before="120" w:after="120"/>
        <w:ind w:left="2280" w:hanging="2280"/>
      </w:pPr>
      <w:r>
        <w:rPr>
          <w:sz w:val="20"/>
          <w:szCs w:val="20"/>
        </w:rPr>
        <w:t>Skróty użyte w tablicy: Kat. – kategoria właściwości,  Dekl – deklarowana, wsk. – wskaźnik,  wsp. – współczynnik, roz. -rozdział</w:t>
      </w:r>
    </w:p>
    <w:tbl>
      <w:tblPr>
        <w:tblW w:w="9490" w:type="dxa"/>
        <w:tblCellMar>
          <w:left w:w="0" w:type="dxa"/>
          <w:right w:w="0" w:type="dxa"/>
        </w:tblCellMar>
        <w:tblLook w:val="04A0" w:firstRow="1" w:lastRow="0" w:firstColumn="1" w:lastColumn="0" w:noHBand="0" w:noVBand="1"/>
      </w:tblPr>
      <w:tblGrid>
        <w:gridCol w:w="3053"/>
        <w:gridCol w:w="1192"/>
        <w:gridCol w:w="1559"/>
        <w:gridCol w:w="3686"/>
      </w:tblGrid>
      <w:tr w:rsidR="00C96A5B" w:rsidTr="00E558D1">
        <w:tc>
          <w:tcPr>
            <w:tcW w:w="305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6A5B" w:rsidRDefault="00C96A5B" w:rsidP="00E558D1">
            <w:pPr>
              <w:pStyle w:val="Bezodstpw"/>
              <w:ind w:firstLine="0"/>
              <w:jc w:val="center"/>
            </w:pPr>
            <w:r>
              <w:rPr>
                <w:sz w:val="20"/>
                <w:szCs w:val="20"/>
              </w:rPr>
              <w:t>Właściwość</w:t>
            </w:r>
          </w:p>
          <w:p w:rsidR="00C96A5B" w:rsidRDefault="00C96A5B" w:rsidP="00E558D1">
            <w:pPr>
              <w:pStyle w:val="Bezodstpw"/>
              <w:ind w:firstLine="0"/>
              <w:jc w:val="center"/>
            </w:pPr>
            <w:r>
              <w:rPr>
                <w:sz w:val="20"/>
                <w:szCs w:val="20"/>
              </w:rPr>
              <w:t>kruszywa</w:t>
            </w:r>
          </w:p>
        </w:tc>
        <w:tc>
          <w:tcPr>
            <w:tcW w:w="1192"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96A5B" w:rsidRDefault="00C96A5B" w:rsidP="00E558D1">
            <w:pPr>
              <w:pStyle w:val="Bezodstpw"/>
              <w:ind w:firstLine="0"/>
              <w:jc w:val="center"/>
            </w:pPr>
            <w:r>
              <w:rPr>
                <w:sz w:val="20"/>
                <w:szCs w:val="20"/>
              </w:rPr>
              <w:t>Metoda</w:t>
            </w:r>
          </w:p>
          <w:p w:rsidR="00C96A5B" w:rsidRDefault="00C96A5B" w:rsidP="00E558D1">
            <w:pPr>
              <w:pStyle w:val="Bezodstpw"/>
              <w:ind w:firstLine="0"/>
              <w:jc w:val="center"/>
            </w:pPr>
            <w:r>
              <w:rPr>
                <w:sz w:val="20"/>
                <w:szCs w:val="20"/>
              </w:rPr>
              <w:t>badania</w:t>
            </w:r>
          </w:p>
          <w:p w:rsidR="00C96A5B" w:rsidRDefault="00C96A5B" w:rsidP="00E558D1">
            <w:pPr>
              <w:pStyle w:val="Bezodstpw"/>
              <w:ind w:firstLine="0"/>
              <w:jc w:val="center"/>
            </w:pPr>
            <w:r>
              <w:rPr>
                <w:sz w:val="20"/>
                <w:szCs w:val="20"/>
              </w:rPr>
              <w:t>wg</w:t>
            </w:r>
          </w:p>
        </w:tc>
        <w:tc>
          <w:tcPr>
            <w:tcW w:w="5245"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center"/>
            </w:pPr>
            <w:r>
              <w:rPr>
                <w:sz w:val="20"/>
                <w:szCs w:val="20"/>
              </w:rPr>
              <w:t>Wymagania wobec kruszywa do mieszanek niezwiązanych, przeznaczonych do zastosowania w warstwie podbudowy zasadniczej pod nawierzchnią drogi obciążonej ruchem  kategorii KR1 ÷ KR6</w:t>
            </w:r>
          </w:p>
        </w:tc>
      </w:tr>
      <w:tr w:rsidR="00C96A5B" w:rsidTr="00E558D1">
        <w:trPr>
          <w:trHeight w:val="4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A5B" w:rsidRDefault="00C96A5B" w:rsidP="00E558D1">
            <w:pPr>
              <w:rPr>
                <w:rFonts w:eastAsiaTheme="minorEastAsia"/>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96A5B" w:rsidRDefault="00C96A5B" w:rsidP="00E558D1">
            <w:pPr>
              <w:rPr>
                <w:rFonts w:eastAsiaTheme="minorEastAsia"/>
                <w:sz w:val="24"/>
                <w:szCs w:val="24"/>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6A5B" w:rsidRDefault="00C96A5B" w:rsidP="00E558D1">
            <w:pPr>
              <w:pStyle w:val="Bezodstpw"/>
              <w:ind w:firstLine="0"/>
              <w:jc w:val="center"/>
            </w:pPr>
            <w:r>
              <w:rPr>
                <w:sz w:val="20"/>
                <w:szCs w:val="20"/>
              </w:rPr>
              <w:t>Punkt</w:t>
            </w:r>
          </w:p>
          <w:p w:rsidR="00C96A5B" w:rsidRDefault="00C96A5B" w:rsidP="00E558D1">
            <w:pPr>
              <w:pStyle w:val="Bezodstpw"/>
              <w:ind w:firstLine="0"/>
              <w:jc w:val="center"/>
            </w:pPr>
            <w:r>
              <w:rPr>
                <w:sz w:val="20"/>
                <w:szCs w:val="20"/>
              </w:rPr>
              <w:t>PN-EN</w:t>
            </w:r>
          </w:p>
          <w:p w:rsidR="00C96A5B" w:rsidRDefault="00C96A5B" w:rsidP="00E558D1">
            <w:pPr>
              <w:pStyle w:val="Bezodstpw"/>
              <w:ind w:firstLine="0"/>
              <w:jc w:val="center"/>
            </w:pPr>
            <w:r>
              <w:rPr>
                <w:sz w:val="20"/>
                <w:szCs w:val="20"/>
              </w:rPr>
              <w:t>13242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6A5B" w:rsidRDefault="00C96A5B" w:rsidP="00E558D1">
            <w:pPr>
              <w:pStyle w:val="Bezodstpw"/>
              <w:ind w:firstLine="0"/>
              <w:jc w:val="center"/>
            </w:pPr>
            <w:r>
              <w:rPr>
                <w:sz w:val="20"/>
                <w:szCs w:val="20"/>
              </w:rPr>
              <w:t>Wymagania</w:t>
            </w:r>
          </w:p>
          <w:p w:rsidR="00C96A5B" w:rsidRDefault="00C96A5B" w:rsidP="00E558D1">
            <w:pPr>
              <w:pStyle w:val="Bezodstpw"/>
              <w:ind w:firstLine="0"/>
              <w:jc w:val="center"/>
            </w:pPr>
            <w:r>
              <w:rPr>
                <w:sz w:val="20"/>
                <w:szCs w:val="20"/>
              </w:rPr>
              <w:t> </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Zestaw sit #</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center"/>
            </w:pPr>
            <w:r>
              <w:rPr>
                <w:sz w:val="20"/>
                <w:szCs w:val="20"/>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4.1-4.2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 xml:space="preserve">0,063; 0,5; 1; 2; 4; 5,6; 8; 11,2; 16; 22,4; 31,5; 45; 63 i 90 mm (zestaw podstawowy plus zestaw 1) </w:t>
            </w:r>
          </w:p>
          <w:p w:rsidR="00C96A5B" w:rsidRDefault="00C96A5B" w:rsidP="00E558D1">
            <w:pPr>
              <w:pStyle w:val="Bezodstpw"/>
              <w:ind w:firstLine="0"/>
              <w:jc w:val="left"/>
            </w:pPr>
            <w:r>
              <w:rPr>
                <w:sz w:val="20"/>
                <w:szCs w:val="20"/>
              </w:rPr>
              <w:t> Wszystkie frakcje dozwolone</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Uziarnienie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w:t>
            </w:r>
          </w:p>
          <w:p w:rsidR="00C96A5B" w:rsidRDefault="00C96A5B" w:rsidP="00E558D1">
            <w:pPr>
              <w:pStyle w:val="Bezodstpw"/>
              <w:ind w:firstLine="0"/>
            </w:pPr>
            <w:r>
              <w:rPr>
                <w:sz w:val="20"/>
                <w:szCs w:val="20"/>
              </w:rPr>
              <w:t>933-1[5]</w:t>
            </w:r>
          </w:p>
          <w:p w:rsidR="00C96A5B" w:rsidRDefault="00C96A5B" w:rsidP="00E558D1">
            <w:pPr>
              <w:pStyle w:val="Bezodstpw"/>
              <w:ind w:firstLine="0"/>
            </w:pPr>
            <w:r>
              <w:rPr>
                <w:sz w:val="20"/>
                <w:szCs w:val="20"/>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4.3.1</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Kruszywo grube: kat. G</w:t>
            </w:r>
            <w:r>
              <w:rPr>
                <w:sz w:val="20"/>
                <w:szCs w:val="20"/>
                <w:vertAlign w:val="subscript"/>
              </w:rPr>
              <w:t>C</w:t>
            </w:r>
            <w:r>
              <w:rPr>
                <w:sz w:val="20"/>
                <w:szCs w:val="20"/>
              </w:rPr>
              <w:t>80/20,   kruszywo drobne: kat. G</w:t>
            </w:r>
            <w:r>
              <w:rPr>
                <w:sz w:val="20"/>
                <w:szCs w:val="20"/>
                <w:vertAlign w:val="subscript"/>
              </w:rPr>
              <w:t>F</w:t>
            </w:r>
            <w:r>
              <w:rPr>
                <w:sz w:val="20"/>
                <w:szCs w:val="20"/>
              </w:rPr>
              <w:t>80,   kruszywo o ciągłym uziarnieniu: kat. G</w:t>
            </w:r>
            <w:r>
              <w:rPr>
                <w:sz w:val="20"/>
                <w:szCs w:val="20"/>
                <w:vertAlign w:val="subscript"/>
              </w:rPr>
              <w:t>A</w:t>
            </w:r>
            <w:r>
              <w:rPr>
                <w:sz w:val="20"/>
                <w:szCs w:val="20"/>
              </w:rPr>
              <w:t xml:space="preserve">75.   </w:t>
            </w:r>
          </w:p>
          <w:p w:rsidR="00C96A5B" w:rsidRDefault="00C96A5B" w:rsidP="00E558D1">
            <w:pPr>
              <w:pStyle w:val="Bezodstpw"/>
              <w:ind w:firstLine="0"/>
              <w:jc w:val="left"/>
            </w:pPr>
            <w:r>
              <w:rPr>
                <w:sz w:val="20"/>
                <w:szCs w:val="20"/>
              </w:rPr>
              <w:t>Uziarnienie mieszanek kruszywa wg rysunków 1÷3</w:t>
            </w:r>
          </w:p>
        </w:tc>
      </w:tr>
      <w:tr w:rsidR="00C96A5B" w:rsidTr="00E558D1">
        <w:trPr>
          <w:trHeight w:val="433"/>
        </w:trPr>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lastRenderedPageBreak/>
              <w:t>Ogólne granice i tolerancje uziarnienia kruszywa grubego na sitach pośrednich</w:t>
            </w:r>
          </w:p>
          <w:p w:rsidR="00C96A5B" w:rsidRDefault="00C96A5B" w:rsidP="00E558D1">
            <w:pPr>
              <w:pStyle w:val="Bezodstpw"/>
              <w:ind w:firstLine="0"/>
              <w:jc w:val="left"/>
            </w:pPr>
            <w:r>
              <w:rPr>
                <w:sz w:val="20"/>
                <w:szCs w:val="20"/>
              </w:rPr>
              <w:t> </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w:t>
            </w:r>
          </w:p>
          <w:p w:rsidR="00C96A5B" w:rsidRDefault="00C96A5B" w:rsidP="00E558D1">
            <w:pPr>
              <w:pStyle w:val="Bezodstpw"/>
              <w:ind w:firstLine="0"/>
            </w:pPr>
            <w:r>
              <w:rPr>
                <w:sz w:val="20"/>
                <w:szCs w:val="20"/>
              </w:rPr>
              <w:t>933-1 [5]</w:t>
            </w:r>
          </w:p>
          <w:p w:rsidR="00C96A5B" w:rsidRDefault="00C96A5B" w:rsidP="00E558D1">
            <w:pPr>
              <w:pStyle w:val="Bezodstpw"/>
              <w:ind w:firstLine="0"/>
            </w:pPr>
            <w:r>
              <w:rPr>
                <w:sz w:val="20"/>
                <w:szCs w:val="20"/>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4.3.2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GT</w:t>
            </w:r>
            <w:r>
              <w:rPr>
                <w:sz w:val="20"/>
                <w:szCs w:val="20"/>
                <w:vertAlign w:val="subscript"/>
              </w:rPr>
              <w:t>C</w:t>
            </w:r>
            <w:r>
              <w:rPr>
                <w:sz w:val="20"/>
                <w:szCs w:val="20"/>
              </w:rPr>
              <w:t>20/15 (tj. dla stosunku D/d ≥2 i sita o pośrednich wymiarach D/1,4 ogólne granice wynoszą 20-70% przechodzącej masy i graniczne odchylenia od typowego uziarnienia deklarowanego przez producenta wynoszą ±15%)</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spacing w:after="240"/>
              <w:ind w:firstLine="0"/>
              <w:jc w:val="left"/>
            </w:pPr>
            <w:r>
              <w:rPr>
                <w:sz w:val="20"/>
                <w:szCs w:val="20"/>
              </w:rPr>
              <w:t>Tolerancje typowego uziarnienia kru-</w:t>
            </w:r>
            <w:r>
              <w:rPr>
                <w:sz w:val="20"/>
                <w:szCs w:val="20"/>
              </w:rPr>
              <w:br/>
              <w:t>szywa drobnego i kruszywa o ciągłym uziarnieniu</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w:t>
            </w:r>
          </w:p>
          <w:p w:rsidR="00C96A5B" w:rsidRDefault="00C96A5B" w:rsidP="00E558D1">
            <w:pPr>
              <w:pStyle w:val="Bezodstpw"/>
              <w:ind w:firstLine="0"/>
            </w:pPr>
            <w:r>
              <w:rPr>
                <w:sz w:val="20"/>
                <w:szCs w:val="20"/>
              </w:rPr>
              <w:t>933-1 [5]</w:t>
            </w:r>
          </w:p>
          <w:p w:rsidR="00C96A5B" w:rsidRDefault="00C96A5B" w:rsidP="00E558D1">
            <w:pPr>
              <w:pStyle w:val="Bezodstpw"/>
              <w:ind w:firstLine="0"/>
            </w:pPr>
            <w:r>
              <w:rPr>
                <w:sz w:val="20"/>
                <w:szCs w:val="20"/>
              </w:rPr>
              <w:t>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4.3.3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Kruszywo drobne: kat. GT</w:t>
            </w:r>
            <w:r>
              <w:rPr>
                <w:sz w:val="20"/>
                <w:szCs w:val="20"/>
                <w:vertAlign w:val="subscript"/>
              </w:rPr>
              <w:t>F</w:t>
            </w:r>
            <w:r>
              <w:rPr>
                <w:sz w:val="20"/>
                <w:szCs w:val="20"/>
              </w:rPr>
              <w:t>10 (tj. procent masy przechodzącej przez sito górne D: ±5%, sito D/2: ±10%, sito 0,063 mm: ±3%).Kruszywo o ciągłym uziarnieniu: kat. GT</w:t>
            </w:r>
            <w:r>
              <w:rPr>
                <w:sz w:val="20"/>
                <w:szCs w:val="20"/>
                <w:vertAlign w:val="subscript"/>
              </w:rPr>
              <w:t>A</w:t>
            </w:r>
            <w:r>
              <w:rPr>
                <w:sz w:val="20"/>
                <w:szCs w:val="20"/>
              </w:rPr>
              <w:t>20 (tj. procent masy przechodzącej przez sito górne D: ±5%, sito D/2: ±20%, sito 0,063 mm: ±4%)</w:t>
            </w:r>
          </w:p>
        </w:tc>
      </w:tr>
      <w:tr w:rsidR="00C96A5B" w:rsidTr="00E558D1">
        <w:trPr>
          <w:trHeight w:val="671"/>
        </w:trPr>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Kształt kruszywa grubego – maksymalne wartości wskaź</w:t>
            </w:r>
            <w:r>
              <w:rPr>
                <w:sz w:val="20"/>
                <w:szCs w:val="20"/>
              </w:rPr>
              <w:softHyphen/>
              <w:t>nika płaskości</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w:t>
            </w:r>
          </w:p>
          <w:p w:rsidR="00C96A5B" w:rsidRDefault="00C96A5B" w:rsidP="00E558D1">
            <w:pPr>
              <w:pStyle w:val="Bezodstpw"/>
              <w:ind w:firstLine="0"/>
            </w:pPr>
            <w:r>
              <w:rPr>
                <w:sz w:val="20"/>
                <w:szCs w:val="20"/>
              </w:rPr>
              <w:t>933-3  [6]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FI</w:t>
            </w:r>
            <w:r>
              <w:rPr>
                <w:sz w:val="20"/>
                <w:szCs w:val="20"/>
                <w:vertAlign w:val="subscript"/>
              </w:rPr>
              <w:t xml:space="preserve">50 </w:t>
            </w:r>
            <w:r>
              <w:rPr>
                <w:sz w:val="20"/>
                <w:szCs w:val="20"/>
              </w:rPr>
              <w:t xml:space="preserve">(tj. maksymalna wartość wskaźnika płaskości wynosi ≤ 50) </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Kształt kruszywa grubego – maksymalne wartości wskaźnika kształtu</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w:t>
            </w:r>
          </w:p>
          <w:p w:rsidR="00C96A5B" w:rsidRDefault="00C96A5B" w:rsidP="00E558D1">
            <w:pPr>
              <w:pStyle w:val="Bezodstpw"/>
              <w:ind w:firstLine="0"/>
            </w:pPr>
            <w:r>
              <w:rPr>
                <w:sz w:val="20"/>
                <w:szCs w:val="20"/>
              </w:rPr>
              <w:t>933-4  [7]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SI</w:t>
            </w:r>
            <w:r>
              <w:rPr>
                <w:sz w:val="20"/>
                <w:szCs w:val="20"/>
                <w:vertAlign w:val="subscript"/>
              </w:rPr>
              <w:t xml:space="preserve">55 </w:t>
            </w:r>
            <w:r>
              <w:rPr>
                <w:sz w:val="20"/>
                <w:szCs w:val="20"/>
              </w:rPr>
              <w:t>(tj. maksymalna wartość wskaźnika kształtu wynosi ≤ 55)</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Kategorie procentowych zawartości ziaren o powierzchni przekruszonej lub łamanych oraz ziaren całkowicie za</w:t>
            </w:r>
            <w:r>
              <w:rPr>
                <w:sz w:val="20"/>
                <w:szCs w:val="20"/>
              </w:rPr>
              <w:softHyphen/>
              <w:t>okrąglonych w kruszywie grubym</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w:t>
            </w:r>
          </w:p>
          <w:p w:rsidR="00C96A5B" w:rsidRDefault="00C96A5B" w:rsidP="00E558D1">
            <w:pPr>
              <w:pStyle w:val="Bezodstpw"/>
              <w:ind w:firstLine="0"/>
            </w:pPr>
            <w:r>
              <w:rPr>
                <w:sz w:val="20"/>
                <w:szCs w:val="20"/>
              </w:rPr>
              <w:t>933-5 [8]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4.5</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C</w:t>
            </w:r>
            <w:r>
              <w:rPr>
                <w:sz w:val="20"/>
                <w:szCs w:val="20"/>
                <w:vertAlign w:val="subscript"/>
              </w:rPr>
              <w:t>90/3</w:t>
            </w:r>
            <w:r>
              <w:rPr>
                <w:sz w:val="20"/>
                <w:szCs w:val="20"/>
              </w:rPr>
              <w:t xml:space="preserve"> (tj. masa ziarn przekruszonych lub łamanych wynosi 90 do 100 %, a masa ziarn całkowicie zaokrąglonych wynosi 0 do 3 %)</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Zawartość pyłów w kruszywie grubym</w:t>
            </w:r>
            <w:r>
              <w:rPr>
                <w:sz w:val="20"/>
                <w:szCs w:val="20"/>
                <w:vertAlign w:val="superscript"/>
              </w:rPr>
              <w:t>*)</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w:t>
            </w:r>
          </w:p>
          <w:p w:rsidR="00C96A5B" w:rsidRDefault="00C96A5B" w:rsidP="00E558D1">
            <w:pPr>
              <w:pStyle w:val="Bezodstpw"/>
              <w:ind w:firstLine="0"/>
            </w:pPr>
            <w:r>
              <w:rPr>
                <w:sz w:val="20"/>
                <w:szCs w:val="20"/>
              </w:rPr>
              <w:t>933-1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4.6</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f</w:t>
            </w:r>
            <w:r>
              <w:rPr>
                <w:sz w:val="20"/>
                <w:szCs w:val="20"/>
                <w:vertAlign w:val="subscript"/>
              </w:rPr>
              <w:t>Dekl</w:t>
            </w:r>
            <w:r>
              <w:rPr>
                <w:sz w:val="20"/>
                <w:szCs w:val="20"/>
              </w:rPr>
              <w:t>  (tj. masa frakcji przechodzącej przez sito 0,063 mm jest &gt; 4)</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Zawartość pyłów</w:t>
            </w:r>
            <w:r>
              <w:rPr>
                <w:sz w:val="20"/>
                <w:szCs w:val="20"/>
                <w:vertAlign w:val="superscript"/>
              </w:rPr>
              <w:t xml:space="preserve">  </w:t>
            </w:r>
            <w:r>
              <w:rPr>
                <w:sz w:val="20"/>
                <w:szCs w:val="20"/>
              </w:rPr>
              <w:t> w  kruszywie drob</w:t>
            </w:r>
            <w:r>
              <w:rPr>
                <w:sz w:val="20"/>
                <w:szCs w:val="20"/>
              </w:rPr>
              <w:softHyphen/>
              <w:t>nym</w:t>
            </w:r>
            <w:r>
              <w:rPr>
                <w:sz w:val="20"/>
                <w:szCs w:val="20"/>
                <w:vertAlign w:val="superscript"/>
              </w:rPr>
              <w:t>*)</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xml:space="preserve">PN-EN   </w:t>
            </w:r>
          </w:p>
          <w:p w:rsidR="00C96A5B" w:rsidRDefault="00C96A5B" w:rsidP="00E558D1">
            <w:pPr>
              <w:pStyle w:val="Bezodstpw"/>
              <w:ind w:firstLine="0"/>
            </w:pPr>
            <w:r>
              <w:rPr>
                <w:sz w:val="20"/>
                <w:szCs w:val="20"/>
              </w:rPr>
              <w:t xml:space="preserve">933-1 [5]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4.6</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f</w:t>
            </w:r>
            <w:r>
              <w:rPr>
                <w:sz w:val="20"/>
                <w:szCs w:val="20"/>
                <w:vertAlign w:val="subscript"/>
              </w:rPr>
              <w:t>Dekl</w:t>
            </w:r>
            <w:r>
              <w:rPr>
                <w:sz w:val="20"/>
                <w:szCs w:val="20"/>
              </w:rPr>
              <w:t xml:space="preserve">  (tj. masa frakcji przechodzącej przez sito 0,063 mm jest &gt; 22) </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Jakość pyłów</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center"/>
            </w:pPr>
            <w:r>
              <w:rPr>
                <w:sz w:val="20"/>
                <w:szCs w:val="20"/>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4.7</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Właściwość niebadana na pojedynczych frakcjach, a tylko w mieszankach wg wymagań dla mieszanek</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Odporność na rozdrabnianie kruszywa grubego</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xml:space="preserve">PN-EN </w:t>
            </w:r>
          </w:p>
          <w:p w:rsidR="00C96A5B" w:rsidRDefault="00C96A5B" w:rsidP="00E558D1">
            <w:pPr>
              <w:pStyle w:val="Bezodstpw"/>
              <w:ind w:firstLine="0"/>
            </w:pPr>
            <w:r>
              <w:rPr>
                <w:sz w:val="20"/>
                <w:szCs w:val="20"/>
              </w:rPr>
              <w:t xml:space="preserve">1097-2 [10]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5.2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LA</w:t>
            </w:r>
            <w:r>
              <w:rPr>
                <w:sz w:val="20"/>
                <w:szCs w:val="20"/>
                <w:vertAlign w:val="subscript"/>
              </w:rPr>
              <w:t>40</w:t>
            </w:r>
            <w:r>
              <w:rPr>
                <w:sz w:val="20"/>
                <w:szCs w:val="20"/>
              </w:rPr>
              <w:t xml:space="preserve"> (tj. maksymalna wartość współczynnika Los Angeles ≤ 40 </w:t>
            </w:r>
            <w:r>
              <w:rPr>
                <w:sz w:val="20"/>
                <w:szCs w:val="20"/>
                <w:vertAlign w:val="superscript"/>
              </w:rPr>
              <w:t>**)</w:t>
            </w:r>
            <w:r>
              <w:rPr>
                <w:sz w:val="20"/>
                <w:szCs w:val="20"/>
              </w:rPr>
              <w:t>)</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Odporność na ścieranie kruszywa grubego</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xml:space="preserve">PN-EN  </w:t>
            </w:r>
          </w:p>
          <w:p w:rsidR="00C96A5B" w:rsidRDefault="00C96A5B" w:rsidP="00E558D1">
            <w:pPr>
              <w:pStyle w:val="Bezodstpw"/>
              <w:ind w:firstLine="0"/>
            </w:pPr>
            <w:r>
              <w:rPr>
                <w:sz w:val="20"/>
                <w:szCs w:val="20"/>
              </w:rPr>
              <w:t xml:space="preserve">1097-1 [9]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5.3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M</w:t>
            </w:r>
            <w:r>
              <w:rPr>
                <w:sz w:val="20"/>
                <w:szCs w:val="20"/>
                <w:vertAlign w:val="subscript"/>
              </w:rPr>
              <w:t>DE</w:t>
            </w:r>
            <w:r>
              <w:rPr>
                <w:sz w:val="20"/>
                <w:szCs w:val="20"/>
              </w:rPr>
              <w:t>Deklarowana (tj. współczynnik mikro-Devala &gt;50))</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Gęstość ziaren</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PN-EN 1097-6, roz. 7, 8 i 9  [11]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5.4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Deklarowana</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Nasiąkliwość</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 xml:space="preserve">PN-EN 1097-6, roz. 7, 8 i 9 [11]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5.5 i</w:t>
            </w:r>
          </w:p>
          <w:p w:rsidR="00C96A5B" w:rsidRDefault="00C96A5B" w:rsidP="00E558D1">
            <w:pPr>
              <w:pStyle w:val="Bezodstpw"/>
              <w:ind w:firstLine="0"/>
            </w:pPr>
            <w:r>
              <w:rPr>
                <w:sz w:val="20"/>
                <w:szCs w:val="20"/>
              </w:rPr>
              <w:t>7.3.2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W</w:t>
            </w:r>
            <w:r>
              <w:rPr>
                <w:sz w:val="20"/>
                <w:szCs w:val="20"/>
                <w:vertAlign w:val="subscript"/>
              </w:rPr>
              <w:t>cm</w:t>
            </w:r>
            <w:r>
              <w:rPr>
                <w:sz w:val="20"/>
                <w:szCs w:val="20"/>
              </w:rPr>
              <w:t>NR (tj. brak wymagania)</w:t>
            </w:r>
          </w:p>
          <w:p w:rsidR="00C96A5B" w:rsidRDefault="00C96A5B" w:rsidP="00E558D1">
            <w:pPr>
              <w:pStyle w:val="Bezodstpw"/>
              <w:ind w:firstLine="0"/>
              <w:jc w:val="left"/>
            </w:pPr>
            <w:r>
              <w:rPr>
                <w:sz w:val="20"/>
                <w:szCs w:val="20"/>
              </w:rPr>
              <w:t>kat. WA</w:t>
            </w:r>
            <w:r>
              <w:rPr>
                <w:sz w:val="20"/>
                <w:szCs w:val="20"/>
                <w:vertAlign w:val="subscript"/>
              </w:rPr>
              <w:t>24</w:t>
            </w:r>
            <w:r>
              <w:rPr>
                <w:sz w:val="20"/>
                <w:szCs w:val="20"/>
              </w:rPr>
              <w:t>2</w:t>
            </w:r>
            <w:r>
              <w:rPr>
                <w:sz w:val="20"/>
                <w:szCs w:val="20"/>
                <w:vertAlign w:val="superscript"/>
              </w:rPr>
              <w:t xml:space="preserve">***) </w:t>
            </w:r>
            <w:r>
              <w:rPr>
                <w:sz w:val="20"/>
                <w:szCs w:val="20"/>
              </w:rPr>
              <w:t> (tj. maksymalna wartość nasiąkliwości  ≤2% masy)</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Siarczany rozpuszczalne w kwasie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PN-EN</w:t>
            </w:r>
          </w:p>
          <w:p w:rsidR="00C96A5B" w:rsidRDefault="00C96A5B" w:rsidP="00E558D1">
            <w:pPr>
              <w:pStyle w:val="Bezodstpw"/>
              <w:ind w:firstLine="0"/>
              <w:jc w:val="left"/>
            </w:pPr>
            <w:r>
              <w:rPr>
                <w:sz w:val="20"/>
                <w:szCs w:val="20"/>
              </w:rPr>
              <w:t xml:space="preserve">1744-1[14]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6.2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AS</w:t>
            </w:r>
            <w:r>
              <w:rPr>
                <w:sz w:val="20"/>
                <w:szCs w:val="20"/>
                <w:vertAlign w:val="subscript"/>
              </w:rPr>
              <w:t xml:space="preserve">NR   </w:t>
            </w:r>
            <w:r>
              <w:rPr>
                <w:sz w:val="20"/>
                <w:szCs w:val="20"/>
              </w:rPr>
              <w:t>(tj. brak wymagania)</w:t>
            </w:r>
          </w:p>
          <w:p w:rsidR="00C96A5B" w:rsidRDefault="00C96A5B" w:rsidP="00E558D1">
            <w:pPr>
              <w:pStyle w:val="Bezodstpw"/>
              <w:ind w:firstLine="0"/>
              <w:jc w:val="left"/>
            </w:pPr>
            <w:r>
              <w:rPr>
                <w:sz w:val="20"/>
                <w:szCs w:val="20"/>
              </w:rPr>
              <w:t> </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Całkowita zawartość siarki</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 xml:space="preserve">PN-EN </w:t>
            </w:r>
          </w:p>
          <w:p w:rsidR="00C96A5B" w:rsidRDefault="00C96A5B" w:rsidP="00E558D1">
            <w:pPr>
              <w:pStyle w:val="Bezodstpw"/>
              <w:ind w:firstLine="0"/>
              <w:jc w:val="left"/>
            </w:pPr>
            <w:r>
              <w:rPr>
                <w:sz w:val="20"/>
                <w:szCs w:val="20"/>
              </w:rPr>
              <w:t xml:space="preserve">1744-1[14]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6.3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S</w:t>
            </w:r>
            <w:r>
              <w:rPr>
                <w:sz w:val="20"/>
                <w:szCs w:val="20"/>
                <w:vertAlign w:val="subscript"/>
              </w:rPr>
              <w:t>NR</w:t>
            </w:r>
            <w:r>
              <w:rPr>
                <w:sz w:val="20"/>
                <w:szCs w:val="20"/>
              </w:rPr>
              <w:t xml:space="preserve"> (tj. brak wymagania)</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spacing w:after="240"/>
              <w:ind w:firstLine="0"/>
              <w:jc w:val="left"/>
            </w:pPr>
            <w:r>
              <w:rPr>
                <w:sz w:val="20"/>
                <w:szCs w:val="20"/>
              </w:rPr>
              <w:t>Stałość objętości żużla stalowniczego</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 xml:space="preserve">PN-EN 1744-1, roz. 19.3 [14]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6.4.2.1</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V</w:t>
            </w:r>
            <w:r>
              <w:rPr>
                <w:sz w:val="20"/>
                <w:szCs w:val="20"/>
                <w:vertAlign w:val="subscript"/>
              </w:rPr>
              <w:t>5</w:t>
            </w:r>
            <w:r>
              <w:rPr>
                <w:sz w:val="20"/>
                <w:szCs w:val="20"/>
              </w:rPr>
              <w:t xml:space="preserve"> (tj. pęcznienie ≤ 5 % objętości). Dotyczy żużla z klasycznego pieca tlenowego i elektrycznego pieca łukowego</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Rozpad krzemianowy w żużlu wielko- piecowym kawałkowym</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 xml:space="preserve">PN-EN 1744-1, p. 19.1 [14]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6.4.2.2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Brak rozpadu</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Rozpad żelazawy w żużlu wielkopieco- wym kawałkowym</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 xml:space="preserve">PN-EN 1744-1, p.19.2[14]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6.4.2.3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Brak rozpadu</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lastRenderedPageBreak/>
              <w:t>Składniki rozpuszczalne w wodzie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PN-EN 1744-3 [15]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6.4.3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Brak substancji szkodliwych w stosunku do środowiska wg odrębnych przepisów</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Zanieczyszczenia</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center"/>
            </w:pPr>
            <w:r>
              <w:rPr>
                <w:sz w:val="20"/>
                <w:szCs w:val="20"/>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6.4.4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Brak ciał obcych takich jak drewno, szkło i plastik, mogących pogorszyć wyrób końcowy</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Zgorzel słoneczna bazaltu</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 1367-3[13] i PN-EN 1097-2 [10]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7.2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Kat. SB</w:t>
            </w:r>
            <w:r>
              <w:rPr>
                <w:sz w:val="20"/>
                <w:szCs w:val="20"/>
                <w:vertAlign w:val="subscript"/>
              </w:rPr>
              <w:t>LA Deklarowana</w:t>
            </w:r>
            <w:r>
              <w:rPr>
                <w:sz w:val="20"/>
                <w:szCs w:val="20"/>
              </w:rPr>
              <w:t xml:space="preserve"> (tj. wzrost współczynnika Los Angeles po gotowaniu &gt; 8%)</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Mrozoodporność na frakcji kruszy-</w:t>
            </w:r>
            <w:r>
              <w:rPr>
                <w:sz w:val="20"/>
                <w:szCs w:val="20"/>
              </w:rPr>
              <w:br/>
              <w:t xml:space="preserve">wa  8/16 mm  </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PN-EN 1367-1 [12]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7.3.3</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Skały magmowe i przeobrażone: kat. F</w:t>
            </w:r>
            <w:r>
              <w:rPr>
                <w:sz w:val="20"/>
                <w:szCs w:val="20"/>
                <w:vertAlign w:val="subscript"/>
              </w:rPr>
              <w:t>4</w:t>
            </w:r>
            <w:r>
              <w:rPr>
                <w:sz w:val="20"/>
                <w:szCs w:val="20"/>
              </w:rPr>
              <w:t xml:space="preserve"> (tj. zamrażanie-rozmrażanie ≤ 4% masy), skały osadowe: kat. F</w:t>
            </w:r>
            <w:r>
              <w:rPr>
                <w:sz w:val="20"/>
                <w:szCs w:val="20"/>
                <w:vertAlign w:val="subscript"/>
              </w:rPr>
              <w:t>10</w:t>
            </w:r>
            <w:r>
              <w:rPr>
                <w:sz w:val="20"/>
                <w:szCs w:val="20"/>
              </w:rPr>
              <w:t>, kruszywa z recyklingu: kat. F</w:t>
            </w:r>
            <w:r>
              <w:rPr>
                <w:sz w:val="20"/>
                <w:szCs w:val="20"/>
                <w:vertAlign w:val="subscript"/>
              </w:rPr>
              <w:t>10</w:t>
            </w:r>
            <w:r>
              <w:rPr>
                <w:sz w:val="20"/>
                <w:szCs w:val="20"/>
              </w:rPr>
              <w:t xml:space="preserve"> (F</w:t>
            </w:r>
            <w:r>
              <w:rPr>
                <w:sz w:val="20"/>
                <w:szCs w:val="20"/>
                <w:vertAlign w:val="subscript"/>
              </w:rPr>
              <w:t>25</w:t>
            </w:r>
            <w:r>
              <w:rPr>
                <w:sz w:val="20"/>
                <w:szCs w:val="20"/>
              </w:rPr>
              <w:t>****)</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Skład materiałowy</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center"/>
            </w:pPr>
            <w:r>
              <w:rPr>
                <w:sz w:val="20"/>
                <w:szCs w:val="20"/>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Zał. C</w:t>
            </w:r>
          </w:p>
          <w:p w:rsidR="00C96A5B" w:rsidRDefault="00C96A5B" w:rsidP="00E558D1">
            <w:pPr>
              <w:pStyle w:val="Bezodstpw"/>
              <w:ind w:firstLine="0"/>
            </w:pPr>
            <w:r>
              <w:rPr>
                <w:sz w:val="20"/>
                <w:szCs w:val="20"/>
              </w:rPr>
              <w:t>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Deklarowany</w:t>
            </w:r>
          </w:p>
        </w:tc>
      </w:tr>
      <w:tr w:rsidR="00C96A5B" w:rsidTr="00E558D1">
        <w:tc>
          <w:tcPr>
            <w:tcW w:w="30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Istotne cechy środowiskowe</w:t>
            </w:r>
          </w:p>
        </w:tc>
        <w:tc>
          <w:tcPr>
            <w:tcW w:w="1192"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center"/>
            </w:pPr>
            <w:r>
              <w:rPr>
                <w:sz w:val="20"/>
                <w:szCs w:val="20"/>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Zał. C</w:t>
            </w:r>
          </w:p>
          <w:p w:rsidR="00C96A5B" w:rsidRDefault="00C96A5B" w:rsidP="00E558D1">
            <w:pPr>
              <w:pStyle w:val="Bezodstpw"/>
              <w:ind w:firstLine="0"/>
            </w:pPr>
            <w:r>
              <w:rPr>
                <w:sz w:val="20"/>
                <w:szCs w:val="20"/>
              </w:rPr>
              <w:t>pkt</w:t>
            </w:r>
          </w:p>
          <w:p w:rsidR="00C96A5B" w:rsidRDefault="00C96A5B" w:rsidP="00E558D1">
            <w:pPr>
              <w:pStyle w:val="Bezodstpw"/>
              <w:ind w:firstLine="0"/>
            </w:pPr>
            <w:r>
              <w:rPr>
                <w:sz w:val="20"/>
                <w:szCs w:val="20"/>
              </w:rPr>
              <w:t>C.3.4</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r w:rsidR="00C96A5B" w:rsidTr="00E558D1">
        <w:tc>
          <w:tcPr>
            <w:tcW w:w="9490"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Łączna zawartość pyłów w mieszance powinna się mieścić w wybranych krzywych granicznych</w:t>
            </w:r>
          </w:p>
          <w:p w:rsidR="00C96A5B" w:rsidRDefault="00C96A5B" w:rsidP="00E558D1">
            <w:pPr>
              <w:pStyle w:val="Bezodstpw"/>
              <w:ind w:firstLine="0"/>
            </w:pPr>
            <w:r>
              <w:rPr>
                <w:sz w:val="20"/>
                <w:szCs w:val="20"/>
              </w:rPr>
              <w:t>**)     Do warstw  podbudów zasadniczych na drogach obciążonych ruchem   KR5-KR6  dopuszcza  się jedynie kruszywa</w:t>
            </w:r>
          </w:p>
          <w:p w:rsidR="00C96A5B" w:rsidRDefault="00C96A5B" w:rsidP="00E558D1">
            <w:pPr>
              <w:pStyle w:val="Bezodstpw"/>
              <w:ind w:firstLine="0"/>
            </w:pPr>
            <w:r>
              <w:rPr>
                <w:sz w:val="20"/>
                <w:szCs w:val="20"/>
              </w:rPr>
              <w:t xml:space="preserve">           charakteryzujące się odpornością na rozdrabnianie LA≤35   </w:t>
            </w:r>
          </w:p>
          <w:p w:rsidR="00C96A5B" w:rsidRDefault="00C96A5B" w:rsidP="00E558D1">
            <w:pPr>
              <w:pStyle w:val="Bezodstpw"/>
              <w:ind w:firstLine="0"/>
            </w:pPr>
            <w:r>
              <w:rPr>
                <w:sz w:val="20"/>
                <w:szCs w:val="20"/>
              </w:rPr>
              <w:t>***)    W przypadku, gdy wymaganie nie jest spełnione, należy sprawdzić mrozoodporność</w:t>
            </w:r>
          </w:p>
          <w:p w:rsidR="00C96A5B" w:rsidRDefault="00C96A5B" w:rsidP="00E558D1">
            <w:pPr>
              <w:pStyle w:val="Bezodstpw"/>
              <w:ind w:firstLine="0"/>
            </w:pPr>
            <w:r>
              <w:rPr>
                <w:sz w:val="20"/>
                <w:szCs w:val="20"/>
              </w:rPr>
              <w:t>****)  Pod warunkiem, gdy zawartość w mieszance nie przekracza 50% m/m</w:t>
            </w:r>
          </w:p>
        </w:tc>
      </w:tr>
    </w:tbl>
    <w:p w:rsidR="00C96A5B" w:rsidRDefault="00C96A5B" w:rsidP="00C96A5B">
      <w:pPr>
        <w:pStyle w:val="Bezodstpw"/>
        <w:spacing w:before="120" w:after="120"/>
        <w:ind w:firstLine="0"/>
        <w:rPr>
          <w:rFonts w:eastAsiaTheme="minorEastAsia"/>
        </w:rPr>
      </w:pPr>
      <w:r>
        <w:rPr>
          <w:b/>
          <w:bCs/>
        </w:rPr>
        <w:t xml:space="preserve">2.2.4. </w:t>
      </w:r>
      <w:r>
        <w:t>Woda do zraszania kruszywa</w:t>
      </w:r>
    </w:p>
    <w:p w:rsidR="00C96A5B" w:rsidRDefault="00C96A5B" w:rsidP="00C96A5B">
      <w:pPr>
        <w:pStyle w:val="Bezodstpw"/>
        <w:ind w:firstLine="0"/>
      </w:pPr>
      <w:r>
        <w:t>            Do zraszania kruszywa należy stosować wodę nie zawierającą składników wpływających szkodliwie na mieszankę kruszywa, ale umożliwiającą właściwe zagęszczenie mieszanki niezwiązanej.</w:t>
      </w:r>
    </w:p>
    <w:p w:rsidR="00C96A5B" w:rsidRDefault="00C96A5B" w:rsidP="00C96A5B">
      <w:pPr>
        <w:pStyle w:val="Nagwek1"/>
      </w:pPr>
      <w:r>
        <w:t>3. Sprzęt</w:t>
      </w:r>
    </w:p>
    <w:p w:rsidR="00C96A5B" w:rsidRDefault="00C96A5B" w:rsidP="00C96A5B">
      <w:pPr>
        <w:pStyle w:val="Nagwek2"/>
      </w:pPr>
      <w:bookmarkStart w:id="657" w:name="_Toc344981396"/>
      <w:r>
        <w:t>3.1. Ogólne wymagania dotyczące sprzętu</w:t>
      </w:r>
      <w:bookmarkEnd w:id="657"/>
    </w:p>
    <w:p w:rsidR="00C96A5B" w:rsidRDefault="00C96A5B" w:rsidP="00C96A5B">
      <w:pPr>
        <w:rPr>
          <w:rFonts w:eastAsiaTheme="minorEastAsia"/>
        </w:rPr>
      </w:pPr>
      <w:r>
        <w:t>            Ogólne wymagania dotyczące sprzętu podano w OST  D-M-00.00.00 „Wymagania ogólne” [1], pkt 3.</w:t>
      </w:r>
    </w:p>
    <w:p w:rsidR="00C96A5B" w:rsidRDefault="00C96A5B" w:rsidP="00C96A5B">
      <w:pPr>
        <w:pStyle w:val="Nagwek2"/>
      </w:pPr>
      <w:r>
        <w:t>3.2. Sprzęt stosowany do wykonania robót</w:t>
      </w:r>
    </w:p>
    <w:p w:rsidR="00C96A5B" w:rsidRDefault="00C96A5B" w:rsidP="00C96A5B">
      <w:pPr>
        <w:rPr>
          <w:rFonts w:eastAsiaTheme="minorEastAsia"/>
        </w:rPr>
      </w:pPr>
      <w:r>
        <w:t>            Przy wykonywaniu robót Wykonawca w zależności od potrzeb, powinien wykazać się możliwością korzystania ze sprzętu dostosowanego do przyjętej metody robót, jak:</w:t>
      </w:r>
    </w:p>
    <w:p w:rsidR="00C96A5B" w:rsidRDefault="00C96A5B" w:rsidP="00C96A5B">
      <w:pPr>
        <w:ind w:left="283" w:hanging="283"/>
      </w:pPr>
      <w:r>
        <w:t>a)</w:t>
      </w:r>
      <w:r>
        <w:rPr>
          <w:sz w:val="14"/>
          <w:szCs w:val="14"/>
        </w:rPr>
        <w:t xml:space="preserve">    </w:t>
      </w:r>
      <w:r>
        <w:t>mieszarki do wytwarzania mieszanki kruszywa, wyposażone w urządzenia dozujące wodę, które powinny zapewnić wytworzenie jednorodnej mieszanki o wilgotności optymalnej,</w:t>
      </w:r>
    </w:p>
    <w:p w:rsidR="00C96A5B" w:rsidRDefault="00C96A5B" w:rsidP="00C96A5B">
      <w:pPr>
        <w:ind w:left="283" w:hanging="283"/>
      </w:pPr>
      <w:r>
        <w:t>b)</w:t>
      </w:r>
      <w:r>
        <w:rPr>
          <w:sz w:val="14"/>
          <w:szCs w:val="14"/>
        </w:rPr>
        <w:t xml:space="preserve">   </w:t>
      </w:r>
      <w:r>
        <w:t>układarki lub równiarki do rozkładania mieszanki kruszywa niezwiązanego,</w:t>
      </w:r>
    </w:p>
    <w:p w:rsidR="00C96A5B" w:rsidRDefault="00C96A5B" w:rsidP="00C96A5B">
      <w:pPr>
        <w:ind w:left="283" w:hanging="283"/>
      </w:pPr>
      <w:r>
        <w:t>c)</w:t>
      </w:r>
      <w:r>
        <w:rPr>
          <w:sz w:val="14"/>
          <w:szCs w:val="14"/>
        </w:rPr>
        <w:t xml:space="preserve">    </w:t>
      </w:r>
      <w:r>
        <w:t>walce ogumione i stalowe wibracyjne lub statyczne do zagęszczania mieszanki,</w:t>
      </w:r>
    </w:p>
    <w:p w:rsidR="00C96A5B" w:rsidRDefault="00C96A5B" w:rsidP="00C96A5B">
      <w:pPr>
        <w:ind w:left="283" w:hanging="283"/>
      </w:pPr>
      <w:r>
        <w:t>d)</w:t>
      </w:r>
      <w:r>
        <w:rPr>
          <w:sz w:val="14"/>
          <w:szCs w:val="14"/>
        </w:rPr>
        <w:t xml:space="preserve">   </w:t>
      </w:r>
      <w:r>
        <w:t>zagęszczarki płytowe, ubijaki mechaniczne lub małe walce wibracyjne, do stosowania w miejscach trudno dostępnych.</w:t>
      </w:r>
    </w:p>
    <w:p w:rsidR="00C96A5B" w:rsidRDefault="00C96A5B" w:rsidP="00C96A5B">
      <w:pPr>
        <w:ind w:firstLine="709"/>
      </w:pPr>
      <w:r>
        <w:lastRenderedPageBreak/>
        <w:t>Sprzęt powinien odpowiadać wymaganiom określonym w dokumentacji projektowej, ST, instrukcjach producentów lub propozycji Wykonawcy i powinien być zaakceptowany przez Inżyniera.</w:t>
      </w:r>
    </w:p>
    <w:p w:rsidR="00C96A5B" w:rsidRDefault="00C96A5B" w:rsidP="00C96A5B">
      <w:pPr>
        <w:pStyle w:val="Nagwek1"/>
      </w:pPr>
      <w:r>
        <w:t>4. Transport</w:t>
      </w:r>
    </w:p>
    <w:p w:rsidR="00C96A5B" w:rsidRDefault="00C96A5B" w:rsidP="00C96A5B">
      <w:pPr>
        <w:pStyle w:val="Nagwek2"/>
      </w:pPr>
      <w:bookmarkStart w:id="658" w:name="_Toc344981397"/>
      <w:r>
        <w:t xml:space="preserve">4.1. Ogólne wymagania dotyczące transportu </w:t>
      </w:r>
      <w:bookmarkEnd w:id="658"/>
    </w:p>
    <w:p w:rsidR="00C96A5B" w:rsidRDefault="00C96A5B" w:rsidP="00C96A5B">
      <w:pPr>
        <w:rPr>
          <w:rFonts w:eastAsiaTheme="minorEastAsia"/>
        </w:rPr>
      </w:pPr>
      <w:r>
        <w:t>          Ogólne wymagania dotyczące transportu podano w OST D-M-00.00.00 „Wymagania ogólne” [1],  pkt 4.</w:t>
      </w:r>
    </w:p>
    <w:p w:rsidR="00C96A5B" w:rsidRDefault="00C96A5B" w:rsidP="00C96A5B">
      <w:pPr>
        <w:pStyle w:val="Nagwek2"/>
      </w:pPr>
      <w:r>
        <w:t>4.2. Transport materiałów</w:t>
      </w:r>
    </w:p>
    <w:p w:rsidR="00C96A5B" w:rsidRDefault="00C96A5B" w:rsidP="00C96A5B">
      <w:pPr>
        <w:rPr>
          <w:rFonts w:eastAsiaTheme="minorEastAsia"/>
        </w:rPr>
      </w:pPr>
      <w:r>
        <w:t>            Materiały sypkie (kruszywa) można przewozić dowolnymi środkami transportu, w warunkach zabezpieczających je przed  zanieczyszczeniem, zmieszaniem z innymi materiałami i nadmiernym zawilgoceniem.</w:t>
      </w:r>
    </w:p>
    <w:p w:rsidR="00C96A5B" w:rsidRDefault="00C96A5B" w:rsidP="00C96A5B">
      <w:r>
        <w:t>            Woda może być dostarczana wodociągiem lub przewoźnymi zbiornikami wody.</w:t>
      </w:r>
    </w:p>
    <w:p w:rsidR="00C96A5B" w:rsidRDefault="00C96A5B" w:rsidP="00C96A5B">
      <w:pPr>
        <w:pStyle w:val="Nagwek1"/>
      </w:pPr>
      <w:r>
        <w:t>5. Wykonanie robót</w:t>
      </w:r>
    </w:p>
    <w:p w:rsidR="00C96A5B" w:rsidRDefault="00C96A5B" w:rsidP="00C96A5B">
      <w:pPr>
        <w:pStyle w:val="Nagwek2"/>
      </w:pPr>
      <w:bookmarkStart w:id="659" w:name="_Toc344981398"/>
      <w:r>
        <w:t>5.1. Ogólne zasady wykonania robót</w:t>
      </w:r>
      <w:bookmarkEnd w:id="659"/>
    </w:p>
    <w:p w:rsidR="00C96A5B" w:rsidRDefault="00C96A5B" w:rsidP="00C96A5B">
      <w:pPr>
        <w:rPr>
          <w:rFonts w:eastAsiaTheme="minorEastAsia"/>
        </w:rPr>
      </w:pPr>
      <w:r>
        <w:t>               Ogólne zasady wykonania robót podano w OST D-M-00.00.00 „Wymagania ogólne” [1], pkt 5.</w:t>
      </w:r>
    </w:p>
    <w:p w:rsidR="00C96A5B" w:rsidRDefault="00C96A5B" w:rsidP="00C96A5B">
      <w:pPr>
        <w:pStyle w:val="Nagwek2"/>
      </w:pPr>
      <w:r>
        <w:t>5.2. Zasady wykonywania robót</w:t>
      </w:r>
    </w:p>
    <w:p w:rsidR="00C96A5B" w:rsidRDefault="00C96A5B" w:rsidP="00C96A5B">
      <w:pPr>
        <w:ind w:firstLine="709"/>
        <w:rPr>
          <w:rFonts w:eastAsiaTheme="minorEastAsia"/>
        </w:rPr>
      </w:pPr>
      <w:r>
        <w:t>Sposób wykonania robót powinien być zgodny z dokumentacją projektową i ST. W przypadku braku wystarczających danych można korzystać z ustaleń podanych w niniejszej specyfikacji oraz z informacji podanych w załącznikach.</w:t>
      </w:r>
    </w:p>
    <w:p w:rsidR="00C96A5B" w:rsidRDefault="00C96A5B" w:rsidP="00C96A5B">
      <w:r>
        <w:t>            Podstawowe czynności przy wykonaniu robót obejmują:</w:t>
      </w:r>
    </w:p>
    <w:p w:rsidR="00C96A5B" w:rsidRDefault="00C96A5B" w:rsidP="00C96A5B">
      <w:pPr>
        <w:ind w:left="283" w:hanging="283"/>
      </w:pPr>
      <w:r>
        <w:t xml:space="preserve">1. </w:t>
      </w:r>
      <w:r>
        <w:rPr>
          <w:sz w:val="14"/>
          <w:szCs w:val="14"/>
        </w:rPr>
        <w:t xml:space="preserve">   </w:t>
      </w:r>
      <w:r>
        <w:t xml:space="preserve">roboty przygotowawcze, </w:t>
      </w:r>
    </w:p>
    <w:p w:rsidR="00C96A5B" w:rsidRDefault="00C96A5B" w:rsidP="00C96A5B">
      <w:pPr>
        <w:ind w:left="283" w:hanging="283"/>
      </w:pPr>
      <w:r>
        <w:t xml:space="preserve">2. </w:t>
      </w:r>
      <w:r>
        <w:rPr>
          <w:sz w:val="14"/>
          <w:szCs w:val="14"/>
        </w:rPr>
        <w:t xml:space="preserve">   </w:t>
      </w:r>
      <w:r>
        <w:t>projektowanie mieszanki,</w:t>
      </w:r>
    </w:p>
    <w:p w:rsidR="00C96A5B" w:rsidRDefault="00C96A5B" w:rsidP="00C96A5B">
      <w:pPr>
        <w:ind w:left="283" w:hanging="283"/>
      </w:pPr>
      <w:r>
        <w:t xml:space="preserve">3. </w:t>
      </w:r>
      <w:r>
        <w:rPr>
          <w:sz w:val="14"/>
          <w:szCs w:val="14"/>
        </w:rPr>
        <w:t xml:space="preserve">   </w:t>
      </w:r>
      <w:r>
        <w:t>odcinek próbny,</w:t>
      </w:r>
    </w:p>
    <w:p w:rsidR="00C96A5B" w:rsidRDefault="00C96A5B" w:rsidP="00C96A5B">
      <w:pPr>
        <w:ind w:left="283" w:hanging="283"/>
      </w:pPr>
      <w:r>
        <w:t xml:space="preserve">4. </w:t>
      </w:r>
      <w:r>
        <w:rPr>
          <w:sz w:val="14"/>
          <w:szCs w:val="14"/>
        </w:rPr>
        <w:t xml:space="preserve">   </w:t>
      </w:r>
      <w:r>
        <w:t>wbudowanie mieszanki,</w:t>
      </w:r>
    </w:p>
    <w:p w:rsidR="00C96A5B" w:rsidRDefault="00C96A5B" w:rsidP="00C96A5B">
      <w:pPr>
        <w:ind w:left="283" w:hanging="283"/>
      </w:pPr>
      <w:r>
        <w:t xml:space="preserve">5. </w:t>
      </w:r>
      <w:r>
        <w:rPr>
          <w:sz w:val="14"/>
          <w:szCs w:val="14"/>
        </w:rPr>
        <w:t xml:space="preserve">   </w:t>
      </w:r>
      <w:r>
        <w:t>roboty wykończeniowe.</w:t>
      </w:r>
    </w:p>
    <w:p w:rsidR="00C96A5B" w:rsidRDefault="00C96A5B" w:rsidP="00C96A5B">
      <w:pPr>
        <w:pStyle w:val="Nagwek2"/>
      </w:pPr>
      <w:r>
        <w:t>5.3. Roboty przygotowawcze</w:t>
      </w:r>
    </w:p>
    <w:p w:rsidR="00C96A5B" w:rsidRDefault="00C96A5B" w:rsidP="00C96A5B">
      <w:pPr>
        <w:rPr>
          <w:rFonts w:eastAsiaTheme="minorEastAsia"/>
        </w:rPr>
      </w:pPr>
      <w:r>
        <w:t>            Przed przystąpieniem do robót należy, na podstawie dokumentacji projektowej,  ST lub wskazań Inżyniera:</w:t>
      </w:r>
    </w:p>
    <w:p w:rsidR="00C96A5B" w:rsidRDefault="00C96A5B" w:rsidP="00C96A5B">
      <w:pPr>
        <w:ind w:left="284" w:hanging="284"/>
      </w:pPr>
      <w:r>
        <w:t>–</w:t>
      </w:r>
      <w:r>
        <w:rPr>
          <w:sz w:val="14"/>
          <w:szCs w:val="14"/>
        </w:rPr>
        <w:t xml:space="preserve">      </w:t>
      </w:r>
      <w:r>
        <w:t>ustalić lokalizację robót,</w:t>
      </w:r>
    </w:p>
    <w:p w:rsidR="00C96A5B" w:rsidRDefault="00C96A5B" w:rsidP="00C96A5B">
      <w:pPr>
        <w:ind w:left="284" w:hanging="284"/>
      </w:pPr>
      <w:r>
        <w:t>–</w:t>
      </w:r>
      <w:r>
        <w:rPr>
          <w:sz w:val="14"/>
          <w:szCs w:val="14"/>
        </w:rPr>
        <w:t xml:space="preserve">      </w:t>
      </w:r>
      <w:r>
        <w:t>przeprowadzić obliczenia i pomiary niezbędne do szczegółowego wytyczenia robót oraz ustalenia danych wysokościowych,</w:t>
      </w:r>
    </w:p>
    <w:p w:rsidR="00C96A5B" w:rsidRDefault="00C96A5B" w:rsidP="00C96A5B">
      <w:pPr>
        <w:ind w:left="284" w:hanging="284"/>
      </w:pPr>
      <w:r>
        <w:t>–</w:t>
      </w:r>
      <w:r>
        <w:rPr>
          <w:sz w:val="14"/>
          <w:szCs w:val="14"/>
        </w:rPr>
        <w:t xml:space="preserve">      </w:t>
      </w:r>
      <w:r>
        <w:t>usunąć przeszkody utrudniające wykonanie robót,</w:t>
      </w:r>
    </w:p>
    <w:p w:rsidR="00C96A5B" w:rsidRDefault="00C96A5B" w:rsidP="00C96A5B">
      <w:pPr>
        <w:ind w:left="284" w:hanging="284"/>
      </w:pPr>
      <w:r>
        <w:t>–</w:t>
      </w:r>
      <w:r>
        <w:rPr>
          <w:sz w:val="14"/>
          <w:szCs w:val="14"/>
        </w:rPr>
        <w:t xml:space="preserve">      </w:t>
      </w:r>
      <w:r>
        <w:t>wprowadzić oznakowanie drogi na okres robót,</w:t>
      </w:r>
    </w:p>
    <w:p w:rsidR="00C96A5B" w:rsidRDefault="00C96A5B" w:rsidP="00C96A5B">
      <w:pPr>
        <w:ind w:left="284" w:hanging="284"/>
      </w:pPr>
      <w:r>
        <w:t>–</w:t>
      </w:r>
      <w:r>
        <w:rPr>
          <w:sz w:val="14"/>
          <w:szCs w:val="14"/>
        </w:rPr>
        <w:t xml:space="preserve">      </w:t>
      </w:r>
      <w:r>
        <w:t>zgromadzić materiały i sprzęt potrzebne do rozpoczęcia robót.</w:t>
      </w:r>
    </w:p>
    <w:p w:rsidR="00C96A5B" w:rsidRDefault="00C96A5B" w:rsidP="00C96A5B">
      <w:pPr>
        <w:ind w:firstLine="709"/>
      </w:pPr>
      <w:r>
        <w:t xml:space="preserve">Można dodatkowo korzystać z OST D-01.00.00 [2] przy robotach przygotowawczych oraz z OST D-02.00.00 [3] przy występowaniu robót ziemnych. </w:t>
      </w:r>
    </w:p>
    <w:p w:rsidR="00C96A5B" w:rsidRDefault="00C96A5B" w:rsidP="00C96A5B">
      <w:pPr>
        <w:pStyle w:val="Nagwek2"/>
      </w:pPr>
      <w:r>
        <w:lastRenderedPageBreak/>
        <w:t>5.4. Projektowanie mieszanki kruszywa niezwiązanego</w:t>
      </w:r>
    </w:p>
    <w:p w:rsidR="00C96A5B" w:rsidRDefault="00C96A5B" w:rsidP="00C96A5B">
      <w:pPr>
        <w:spacing w:after="120"/>
        <w:rPr>
          <w:rFonts w:eastAsiaTheme="minorEastAsia"/>
        </w:rPr>
      </w:pPr>
      <w:r>
        <w:rPr>
          <w:b/>
          <w:bCs/>
        </w:rPr>
        <w:t xml:space="preserve">5.4.1. </w:t>
      </w:r>
      <w:r>
        <w:t xml:space="preserve">Postanowienia ogólne </w:t>
      </w:r>
    </w:p>
    <w:p w:rsidR="00C96A5B" w:rsidRDefault="00C96A5B" w:rsidP="00C96A5B">
      <w:pPr>
        <w:ind w:firstLine="709"/>
      </w:pPr>
      <w:r>
        <w:t>Przed przystąpieniem do robót, w terminie uzgodnionym z Inżynierem, Wykonawca dostarczy Inżynierowi do akceptacji projekt składu mieszanki kruszywa niezwiązanego oraz wyniki badań laboratoryjnych poszczególnych składników i próbki materiałów pobrane w obecności Inżyniera do wykonania badań kontrolnych przez Inżyniera.</w:t>
      </w:r>
    </w:p>
    <w:p w:rsidR="00C96A5B" w:rsidRDefault="00C96A5B" w:rsidP="00C96A5B">
      <w:r>
        <w:t>            Projektowanie mieszanki polega na doborze kruszywa do mieszanki oraz ilości wody. Procedura projektowa powinna być oparta na próbach laboratoryjnych i/lub polowych przeprowadzonych na tych samych składnikach, z tych samych źródeł i o takich samych właściwościach, jak te które będą stosowane do wykonania podbudowy zasadniczej.</w:t>
      </w:r>
    </w:p>
    <w:p w:rsidR="00C96A5B" w:rsidRDefault="00C96A5B" w:rsidP="00C96A5B">
      <w:r>
        <w:t>            Skład mieszanki projektuje się zgodnie z wymaganiami wobec mieszanek niezwiązanych do podbudowy zasadniczej, określonych w tablicy 4. Wartości graniczne i tolerancje zawierają rozrzut wynikający z pobierania i dzielenia próbki, przedział ufności (precyzja w porównywalnych warunkach) oraz nierównomierności warunków wykonawczych.</w:t>
      </w:r>
    </w:p>
    <w:p w:rsidR="00C96A5B" w:rsidRDefault="00C96A5B" w:rsidP="00C96A5B">
      <w:r>
        <w:t>            Mieszanki kruszyw powinny być tak produkowane i składowane, aby wykazywały zachowanie jednakowych właściwości, spełniając wymagania z tablicy 4. Mieszanki kruszyw powinny być jednorodnie wymieszane i powinny charakteryzować się równomierną wilgotnością. Kruszywa powinny odpowiadać wymaganiom tablicy 1, przy czym w mieszankach wyprodukowanych z różnych kruszyw, każdy ze składników musi spełniać wymagania tablicy 1.</w:t>
      </w:r>
    </w:p>
    <w:p w:rsidR="00C96A5B" w:rsidRDefault="00C96A5B" w:rsidP="00C96A5B">
      <w:r>
        <w:t>            Przy projektowaniu mieszanek kruszyw z recyklingu można ustalać skład  mieszanek, wzorując się na przykładach podanych w załączniku 1.</w:t>
      </w:r>
    </w:p>
    <w:p w:rsidR="00C96A5B" w:rsidRDefault="00C96A5B" w:rsidP="00C96A5B">
      <w:pPr>
        <w:spacing w:before="120" w:after="120"/>
      </w:pPr>
      <w:r>
        <w:rPr>
          <w:b/>
          <w:bCs/>
        </w:rPr>
        <w:t xml:space="preserve">5.4.2. </w:t>
      </w:r>
      <w:r>
        <w:t>Wymagania wobec mieszanek</w:t>
      </w:r>
    </w:p>
    <w:p w:rsidR="00C96A5B" w:rsidRDefault="00C96A5B" w:rsidP="00C96A5B">
      <w:r>
        <w:t>            W warstwach podbudowy zasadniczej można stosować następujące mieszanki kruszyw:</w:t>
      </w:r>
    </w:p>
    <w:p w:rsidR="00C96A5B" w:rsidRDefault="00C96A5B" w:rsidP="00C96A5B">
      <w:pPr>
        <w:pStyle w:val="Bezodstpw"/>
        <w:ind w:left="480" w:hanging="480"/>
      </w:pPr>
      <w:r>
        <w:t>1.</w:t>
      </w:r>
      <w:r>
        <w:rPr>
          <w:sz w:val="14"/>
          <w:szCs w:val="14"/>
        </w:rPr>
        <w:t xml:space="preserve">          </w:t>
      </w:r>
      <w:r>
        <w:t>0/31,5 mm,</w:t>
      </w:r>
    </w:p>
    <w:p w:rsidR="00C96A5B" w:rsidRDefault="00C96A5B" w:rsidP="00C96A5B">
      <w:pPr>
        <w:pStyle w:val="Bezodstpw"/>
        <w:ind w:left="480" w:hanging="480"/>
      </w:pPr>
      <w:r>
        <w:t>2.</w:t>
      </w:r>
      <w:r>
        <w:rPr>
          <w:sz w:val="14"/>
          <w:szCs w:val="14"/>
        </w:rPr>
        <w:t xml:space="preserve">          </w:t>
      </w:r>
      <w:r>
        <w:t>0/45 mm,</w:t>
      </w:r>
    </w:p>
    <w:p w:rsidR="00C96A5B" w:rsidRDefault="00C96A5B" w:rsidP="00C96A5B">
      <w:pPr>
        <w:pStyle w:val="Bezodstpw"/>
        <w:ind w:left="480" w:hanging="480"/>
      </w:pPr>
      <w:r>
        <w:t>3.</w:t>
      </w:r>
      <w:r>
        <w:rPr>
          <w:sz w:val="14"/>
          <w:szCs w:val="14"/>
        </w:rPr>
        <w:t xml:space="preserve">          </w:t>
      </w:r>
      <w:r>
        <w:t>0/63 mm.</w:t>
      </w:r>
    </w:p>
    <w:p w:rsidR="00C96A5B" w:rsidRDefault="00C96A5B" w:rsidP="00C96A5B">
      <w:pPr>
        <w:pStyle w:val="Bezodstpw"/>
        <w:ind w:firstLine="0"/>
      </w:pPr>
      <w:r>
        <w:t>            Wymagania wobec mieszanek przeznaczonych do podbudowy zasadniczej, podane w tablicy 4, odnośnie wrażliwości na mróz mieszanek kruszyw, dotyczą badania materiału po pięciokrotnym zagęszczeniu w aparacie Proctora według PN-EN 13286-2 [18].</w:t>
      </w:r>
    </w:p>
    <w:p w:rsidR="00C96A5B" w:rsidRDefault="00C96A5B" w:rsidP="00C96A5B">
      <w:pPr>
        <w:pStyle w:val="Bezodstpw"/>
        <w:ind w:firstLine="709"/>
      </w:pPr>
      <w:r>
        <w:t>Zawartość pyłów w mieszankach kruszyw do warstwy podbudowy zasadniczej, określana wg PN-EN 933-1 [5], powinna być zgodna z wymaganiami tablicy 4. W przypadku słabych kruszyw, zawartość pyłów w mieszance kruszyw należy również badać i deklarować, po pięciokrotnym zagęszczeniu metodą Proctora. Zawartość pyłów w takiej mieszance po pięciokrotnym zagęszczeniu metodą Proctora powinna również spełniać wymagania podane w tablicy 4. Nie określa się wymagania wobec minimalnej zawartości pyłów &lt; 0,063 mm w mieszankach kruszyw do warstwy podbudowy zasadniczej.</w:t>
      </w:r>
    </w:p>
    <w:p w:rsidR="00C96A5B" w:rsidRDefault="00C96A5B" w:rsidP="00C96A5B">
      <w:pPr>
        <w:pStyle w:val="Bezodstpw"/>
        <w:ind w:firstLine="709"/>
      </w:pPr>
      <w:r>
        <w:t>Zawartość nadziarna w mieszankach kruszyw, określana według PN-EN 933-1 [5] powinna spełniać wymagania podane w tablicy 4. W przypadku słabych kruszyw decyduje zawartość nadziarna w mieszance kruszyw po pięciokrotnym zagęszczeniu metodą Proctora.</w:t>
      </w:r>
    </w:p>
    <w:p w:rsidR="00C96A5B" w:rsidRDefault="00C96A5B" w:rsidP="00C96A5B">
      <w:pPr>
        <w:pStyle w:val="Bezodstpw"/>
        <w:ind w:firstLine="709"/>
      </w:pPr>
      <w:r>
        <w:t xml:space="preserve">Uziarnienie mieszanek kruszyw o wymiarach ziaren D od 0 do 63 mm należy określić według PN-EN 933-1 [5]. Krzywe uziarnienia mieszanki kruszyw powinny zawierać się w obszarze między krzywymi granicznymi uziarnienia przedstawionymi na rysunkach 1÷3, odpowiednio dla każdego rodzaju mieszanki. Na rysunkach 1÷3 pokazano również liniami </w:t>
      </w:r>
      <w:r>
        <w:lastRenderedPageBreak/>
        <w:t xml:space="preserve">przerywanymi obszar uziarnienia SDV, w którym powinna się mieścić krzywa uziarnienia mieszanki „S” deklarowana przez dostawcę/producenta. </w:t>
      </w:r>
    </w:p>
    <w:p w:rsidR="00C96A5B" w:rsidRDefault="00C96A5B" w:rsidP="00C96A5B">
      <w:pPr>
        <w:pStyle w:val="Bezodstpw"/>
        <w:ind w:firstLine="709"/>
      </w:pPr>
      <w:r>
        <w:t xml:space="preserve">W przypadku słabych kruszyw uziarnienie mieszanki kruszyw należy również badać i deklarować po pięciokrotnym zagęszczeniu metodą Proctora. Kryterium przydatności takiej mieszanki, pod względem uziarnienia, jest spełnione, jeżeli uziarnienie mieszanki po pięciokrotnym zagęszczeniu metodą Proctora mieści się w krzywych granicznych podanych na odpowiednich rysunkach 1÷3.  </w:t>
      </w:r>
    </w:p>
    <w:p w:rsidR="00C96A5B" w:rsidRDefault="00C96A5B" w:rsidP="00C96A5B">
      <w:pPr>
        <w:pStyle w:val="Bezodstpw"/>
        <w:ind w:firstLine="709"/>
      </w:pPr>
      <w:r>
        <w:t> </w:t>
      </w:r>
    </w:p>
    <w:p w:rsidR="00C96A5B" w:rsidRDefault="00C96A5B" w:rsidP="00C96A5B">
      <w:pPr>
        <w:pStyle w:val="Bezodstpw"/>
        <w:ind w:firstLine="0"/>
      </w:pPr>
      <w:r>
        <w:rPr>
          <w:noProof/>
          <w:lang w:eastAsia="pl-PL"/>
        </w:rPr>
        <w:drawing>
          <wp:inline distT="0" distB="0" distL="0" distR="0" wp14:anchorId="616899D6" wp14:editId="04E28D3F">
            <wp:extent cx="6438900" cy="3057525"/>
            <wp:effectExtent l="0" t="0" r="0" b="9525"/>
            <wp:docPr id="23" name="Obraz 23" descr="D:\ost\Podbudowy\d040402b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ost\Podbudowy\d040402b_pliki\image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38900" cy="3057525"/>
                    </a:xfrm>
                    <a:prstGeom prst="rect">
                      <a:avLst/>
                    </a:prstGeom>
                    <a:noFill/>
                    <a:ln>
                      <a:noFill/>
                    </a:ln>
                  </pic:spPr>
                </pic:pic>
              </a:graphicData>
            </a:graphic>
          </wp:inline>
        </w:drawing>
      </w:r>
    </w:p>
    <w:p w:rsidR="00C96A5B" w:rsidRDefault="00C96A5B" w:rsidP="00C96A5B">
      <w:pPr>
        <w:pStyle w:val="Bezodstpw"/>
        <w:spacing w:before="120" w:after="120"/>
        <w:ind w:left="839" w:hanging="839"/>
      </w:pPr>
      <w:r>
        <w:t>Rys. 1.   Krzywe graniczne uziarnienia mieszanki kruszywa niezwiązanego 0/31,5 mm do warstw podbudowy zasadniczej</w:t>
      </w:r>
    </w:p>
    <w:p w:rsidR="00C96A5B" w:rsidRDefault="00C96A5B" w:rsidP="00C96A5B">
      <w:pPr>
        <w:pStyle w:val="Bezodstpw"/>
        <w:spacing w:before="120" w:after="120"/>
        <w:ind w:left="839" w:hanging="839"/>
      </w:pPr>
      <w:r>
        <w:t> </w:t>
      </w:r>
    </w:p>
    <w:p w:rsidR="00C96A5B" w:rsidRDefault="00C96A5B" w:rsidP="00C96A5B">
      <w:pPr>
        <w:pStyle w:val="Bezodstpw"/>
        <w:ind w:left="840" w:hanging="840"/>
      </w:pPr>
      <w:r>
        <w:rPr>
          <w:noProof/>
          <w:lang w:eastAsia="pl-PL"/>
        </w:rPr>
        <w:drawing>
          <wp:inline distT="0" distB="0" distL="0" distR="0" wp14:anchorId="02516FF3" wp14:editId="09406A63">
            <wp:extent cx="6438900" cy="3352800"/>
            <wp:effectExtent l="0" t="0" r="0" b="0"/>
            <wp:docPr id="24" name="Obraz 24" descr="D:\ost\Podbudowy\d040402b_pliki\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D:\ost\Podbudowy\d040402b_pliki\image00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38900" cy="3352800"/>
                    </a:xfrm>
                    <a:prstGeom prst="rect">
                      <a:avLst/>
                    </a:prstGeom>
                    <a:noFill/>
                    <a:ln>
                      <a:noFill/>
                    </a:ln>
                  </pic:spPr>
                </pic:pic>
              </a:graphicData>
            </a:graphic>
          </wp:inline>
        </w:drawing>
      </w:r>
    </w:p>
    <w:p w:rsidR="00C96A5B" w:rsidRDefault="00C96A5B" w:rsidP="00C96A5B">
      <w:pPr>
        <w:pStyle w:val="Bezodstpw"/>
        <w:spacing w:before="120" w:after="120"/>
        <w:ind w:left="851" w:hanging="851"/>
      </w:pPr>
      <w:r>
        <w:lastRenderedPageBreak/>
        <w:t>Rys. 2.   Krzywe graniczne uziarnienia mieszanki kruszywa niezwiązanego 0/45 mm              do warstw podbudowy zasadniczej</w:t>
      </w:r>
    </w:p>
    <w:p w:rsidR="00C96A5B" w:rsidRDefault="00C96A5B" w:rsidP="00C96A5B">
      <w:r>
        <w:t> </w:t>
      </w:r>
    </w:p>
    <w:p w:rsidR="00C96A5B" w:rsidRDefault="00C96A5B" w:rsidP="00C96A5B">
      <w:r>
        <w:rPr>
          <w:noProof/>
          <w:lang w:eastAsia="pl-PL"/>
        </w:rPr>
        <w:drawing>
          <wp:inline distT="0" distB="0" distL="0" distR="0" wp14:anchorId="073E18C9" wp14:editId="74497FB2">
            <wp:extent cx="6438900" cy="3095625"/>
            <wp:effectExtent l="0" t="0" r="0" b="9525"/>
            <wp:docPr id="25" name="Obraz 25" descr="D:\ost\Podbudowy\d040402b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D:\ost\Podbudowy\d040402b_pliki\image00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38900" cy="3095625"/>
                    </a:xfrm>
                    <a:prstGeom prst="rect">
                      <a:avLst/>
                    </a:prstGeom>
                    <a:noFill/>
                    <a:ln>
                      <a:noFill/>
                    </a:ln>
                  </pic:spPr>
                </pic:pic>
              </a:graphicData>
            </a:graphic>
          </wp:inline>
        </w:drawing>
      </w:r>
    </w:p>
    <w:p w:rsidR="00C96A5B" w:rsidRDefault="00C96A5B" w:rsidP="00C96A5B">
      <w:pPr>
        <w:pStyle w:val="Bezodstpw"/>
        <w:spacing w:before="120" w:after="120"/>
        <w:ind w:left="851" w:hanging="851"/>
      </w:pPr>
      <w:r>
        <w:t>Rys. 3.   Krzywe graniczne uziarnienia mieszanki kruszywa niezwiązanego 0/63 mm do warstw podbudowy zasadniczej</w:t>
      </w:r>
    </w:p>
    <w:p w:rsidR="00C96A5B" w:rsidRDefault="00C96A5B" w:rsidP="00C96A5B">
      <w:pPr>
        <w:ind w:firstLine="709"/>
      </w:pPr>
      <w:r>
        <w:t>Oprócz wymagań podanych na rysunkach od 1 do 3, wymaga się aby 90% uziarnień mieszanek zbadanych w ramach ZKP w okresie 6 miesięcy spełniało wymagania kategorii podanych w tablicach 2 i 3, aby zapewnić jednorodność i ciągłość uziarnienia mieszanek.</w:t>
      </w:r>
    </w:p>
    <w:p w:rsidR="00C96A5B" w:rsidRDefault="00C96A5B" w:rsidP="00C96A5B">
      <w:pPr>
        <w:spacing w:before="120" w:after="120"/>
      </w:pPr>
      <w:r>
        <w:t>Tablica 2. Wymagania wobec jednorodności uziarnienia na sitach kontrolnych – porównanie z deklarowaną przez producenta wartością (S). Wymagania dotyczą produkowanej i dostarczanej mieszanki. Jeśli mieszanka zawiera nadmierną zawartość ziaren słabych, wymaganie dotyczy deklarowanego przez producenta uziarnienia mieszanki po pięciokrotnym zagęszczeniu metodą Proctora</w:t>
      </w:r>
    </w:p>
    <w:tbl>
      <w:tblPr>
        <w:tblW w:w="0" w:type="auto"/>
        <w:tblCellMar>
          <w:left w:w="0" w:type="dxa"/>
          <w:right w:w="0" w:type="dxa"/>
        </w:tblCellMar>
        <w:tblLook w:val="04A0" w:firstRow="1" w:lastRow="0" w:firstColumn="1" w:lastColumn="0" w:noHBand="0" w:noVBand="1"/>
      </w:tblPr>
      <w:tblGrid>
        <w:gridCol w:w="1463"/>
        <w:gridCol w:w="754"/>
        <w:gridCol w:w="754"/>
        <w:gridCol w:w="754"/>
        <w:gridCol w:w="754"/>
        <w:gridCol w:w="754"/>
        <w:gridCol w:w="754"/>
        <w:gridCol w:w="754"/>
        <w:gridCol w:w="754"/>
        <w:gridCol w:w="754"/>
        <w:gridCol w:w="754"/>
      </w:tblGrid>
      <w:tr w:rsidR="00C96A5B" w:rsidTr="00E558D1">
        <w:tc>
          <w:tcPr>
            <w:tcW w:w="1463" w:type="dxa"/>
            <w:vMerge w:val="restart"/>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Mieszanka niezwiązana, mm</w:t>
            </w:r>
          </w:p>
        </w:tc>
        <w:tc>
          <w:tcPr>
            <w:tcW w:w="7540" w:type="dxa"/>
            <w:gridSpan w:val="10"/>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Porównanie z deklarowaną przez producenta wartością (S)</w:t>
            </w:r>
          </w:p>
          <w:p w:rsidR="00C96A5B" w:rsidRDefault="00C96A5B" w:rsidP="00E558D1">
            <w:pPr>
              <w:jc w:val="center"/>
            </w:pPr>
            <w:r>
              <w:t>Tolerancje przesiewu przez sito (mm), % (m/m)</w:t>
            </w:r>
          </w:p>
        </w:tc>
      </w:tr>
      <w:tr w:rsidR="00C96A5B" w:rsidTr="00E558D1">
        <w:tc>
          <w:tcPr>
            <w:tcW w:w="0" w:type="auto"/>
            <w:vMerge/>
            <w:tcBorders>
              <w:top w:val="single" w:sz="8" w:space="0" w:color="auto"/>
              <w:left w:val="single" w:sz="8" w:space="0" w:color="auto"/>
              <w:bottom w:val="double" w:sz="4" w:space="0" w:color="auto"/>
              <w:right w:val="single" w:sz="8" w:space="0" w:color="auto"/>
            </w:tcBorders>
            <w:vAlign w:val="center"/>
            <w:hideMark/>
          </w:tcPr>
          <w:p w:rsidR="00C96A5B" w:rsidRDefault="00C96A5B" w:rsidP="00E558D1">
            <w:pPr>
              <w:rPr>
                <w:rFonts w:eastAsiaTheme="minorEastAsia"/>
                <w:sz w:val="24"/>
                <w:szCs w:val="24"/>
              </w:rPr>
            </w:pP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0,5</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1</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2</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4</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5,6</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8</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11,2</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16</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22,4</w:t>
            </w:r>
          </w:p>
        </w:tc>
        <w:tc>
          <w:tcPr>
            <w:tcW w:w="754"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31,5</w:t>
            </w:r>
          </w:p>
        </w:tc>
      </w:tr>
      <w:tr w:rsidR="00C96A5B" w:rsidTr="00E558D1">
        <w:tc>
          <w:tcPr>
            <w:tcW w:w="14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0/31,5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7</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w:t>
            </w:r>
          </w:p>
        </w:tc>
      </w:tr>
      <w:tr w:rsidR="00C96A5B" w:rsidTr="00E558D1">
        <w:tc>
          <w:tcPr>
            <w:tcW w:w="14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0/45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7</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w:t>
            </w:r>
          </w:p>
        </w:tc>
      </w:tr>
      <w:tr w:rsidR="00C96A5B" w:rsidTr="00E558D1">
        <w:tc>
          <w:tcPr>
            <w:tcW w:w="14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0/63</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5</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7</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75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 8</w:t>
            </w:r>
          </w:p>
        </w:tc>
      </w:tr>
    </w:tbl>
    <w:p w:rsidR="00C96A5B" w:rsidRDefault="00C96A5B" w:rsidP="00C96A5B">
      <w:pPr>
        <w:rPr>
          <w:rFonts w:eastAsiaTheme="minorEastAsia"/>
        </w:rPr>
      </w:pPr>
      <w:r>
        <w:t> </w:t>
      </w:r>
    </w:p>
    <w:p w:rsidR="00C96A5B" w:rsidRDefault="00C96A5B" w:rsidP="00C96A5B">
      <w:r>
        <w:t>            Krzywa uziarnienia (S) deklarowana przez producenta mieszanek powinna nie tylko mieścić się w odpowiednich krzywych uziarnienia (rys. 1÷3) ograniczonych przerywanymi liniami (SDV) z uwzględnieniem dopuszczalnych tolerancji podanych w tablicy 2, ale powinna spełniać także wymagania ciągłości uziarnienia zawarte w tablicy 3.</w:t>
      </w:r>
    </w:p>
    <w:p w:rsidR="00C96A5B" w:rsidRDefault="00C96A5B" w:rsidP="00C96A5B">
      <w:pPr>
        <w:spacing w:before="120" w:after="120"/>
        <w:ind w:left="1202" w:hanging="1202"/>
      </w:pPr>
      <w:r>
        <w:lastRenderedPageBreak/>
        <w:t> Tablica 3.    Wymagania wobec ciągłości uziarnienia na sitach kontrolnych – różnice w przesiewach podczas badań kontrolnych produkowanych mieszanek</w:t>
      </w:r>
    </w:p>
    <w:tbl>
      <w:tblPr>
        <w:tblW w:w="9276" w:type="dxa"/>
        <w:tblCellMar>
          <w:left w:w="0" w:type="dxa"/>
          <w:right w:w="0" w:type="dxa"/>
        </w:tblCellMar>
        <w:tblLook w:val="04A0" w:firstRow="1" w:lastRow="0" w:firstColumn="1" w:lastColumn="0" w:noHBand="0" w:noVBand="1"/>
      </w:tblPr>
      <w:tblGrid>
        <w:gridCol w:w="1126"/>
        <w:gridCol w:w="525"/>
        <w:gridCol w:w="495"/>
        <w:gridCol w:w="21"/>
        <w:gridCol w:w="531"/>
        <w:gridCol w:w="495"/>
        <w:gridCol w:w="21"/>
        <w:gridCol w:w="531"/>
        <w:gridCol w:w="495"/>
        <w:gridCol w:w="21"/>
        <w:gridCol w:w="531"/>
        <w:gridCol w:w="495"/>
        <w:gridCol w:w="21"/>
        <w:gridCol w:w="531"/>
        <w:gridCol w:w="495"/>
        <w:gridCol w:w="21"/>
        <w:gridCol w:w="531"/>
        <w:gridCol w:w="495"/>
        <w:gridCol w:w="21"/>
        <w:gridCol w:w="545"/>
        <w:gridCol w:w="555"/>
        <w:gridCol w:w="16"/>
        <w:gridCol w:w="531"/>
        <w:gridCol w:w="500"/>
        <w:gridCol w:w="60"/>
      </w:tblGrid>
      <w:tr w:rsidR="00C96A5B" w:rsidTr="00E558D1">
        <w:tc>
          <w:tcPr>
            <w:tcW w:w="1126" w:type="dxa"/>
            <w:vMerge w:val="restart"/>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t>Mie-szan-ka, mm</w:t>
            </w:r>
          </w:p>
        </w:tc>
        <w:tc>
          <w:tcPr>
            <w:tcW w:w="8135" w:type="dxa"/>
            <w:gridSpan w:val="2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Minimalna i maksymalna zawartość frakcji w mieszankach;</w:t>
            </w:r>
          </w:p>
          <w:p w:rsidR="00C96A5B" w:rsidRDefault="00C96A5B" w:rsidP="00E558D1">
            <w:pPr>
              <w:jc w:val="center"/>
            </w:pPr>
            <w:r>
              <w:t>[różnice przesiewów w % (m/m) przez sito (mm)]</w:t>
            </w:r>
          </w:p>
        </w:tc>
        <w:tc>
          <w:tcPr>
            <w:tcW w:w="15" w:type="dxa"/>
            <w:vAlign w:val="center"/>
            <w:hideMark/>
          </w:tcPr>
          <w:p w:rsidR="00C96A5B" w:rsidRDefault="00C96A5B" w:rsidP="00E558D1">
            <w:r>
              <w:t> </w:t>
            </w:r>
          </w:p>
        </w:tc>
      </w:tr>
      <w:tr w:rsidR="00C96A5B" w:rsidTr="00E558D1">
        <w:tc>
          <w:tcPr>
            <w:tcW w:w="0" w:type="auto"/>
            <w:vMerge/>
            <w:tcBorders>
              <w:top w:val="single" w:sz="8" w:space="0" w:color="auto"/>
              <w:left w:val="single" w:sz="8" w:space="0" w:color="auto"/>
              <w:bottom w:val="double" w:sz="4" w:space="0" w:color="auto"/>
              <w:right w:val="single" w:sz="8" w:space="0" w:color="auto"/>
            </w:tcBorders>
            <w:vAlign w:val="center"/>
            <w:hideMark/>
          </w:tcPr>
          <w:p w:rsidR="00C96A5B" w:rsidRDefault="00C96A5B" w:rsidP="00E558D1">
            <w:pPr>
              <w:rPr>
                <w:rFonts w:eastAsiaTheme="minorEastAsia"/>
                <w:sz w:val="24"/>
                <w:szCs w:val="24"/>
              </w:rPr>
            </w:pPr>
          </w:p>
        </w:tc>
        <w:tc>
          <w:tcPr>
            <w:tcW w:w="737"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1/2</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2/4</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2/5,6</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4/8</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5,6/11,2</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8/16</w:t>
            </w:r>
          </w:p>
        </w:tc>
        <w:tc>
          <w:tcPr>
            <w:tcW w:w="1116"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11,2/22,4</w:t>
            </w:r>
          </w:p>
        </w:tc>
        <w:tc>
          <w:tcPr>
            <w:tcW w:w="104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16/31,5</w:t>
            </w:r>
          </w:p>
        </w:tc>
        <w:tc>
          <w:tcPr>
            <w:tcW w:w="15" w:type="dxa"/>
            <w:tcBorders>
              <w:top w:val="nil"/>
              <w:left w:val="nil"/>
              <w:bottom w:val="single" w:sz="8" w:space="0" w:color="auto"/>
              <w:right w:val="nil"/>
            </w:tcBorders>
            <w:vAlign w:val="center"/>
            <w:hideMark/>
          </w:tcPr>
          <w:p w:rsidR="00C96A5B" w:rsidRDefault="00C96A5B" w:rsidP="00E558D1">
            <w:r>
              <w:t> </w:t>
            </w:r>
          </w:p>
        </w:tc>
      </w:tr>
      <w:tr w:rsidR="00C96A5B" w:rsidTr="00E558D1">
        <w:tc>
          <w:tcPr>
            <w:tcW w:w="0" w:type="auto"/>
            <w:vMerge/>
            <w:tcBorders>
              <w:top w:val="single" w:sz="8" w:space="0" w:color="auto"/>
              <w:left w:val="single" w:sz="8" w:space="0" w:color="auto"/>
              <w:bottom w:val="double" w:sz="4" w:space="0" w:color="auto"/>
              <w:right w:val="single" w:sz="8" w:space="0" w:color="auto"/>
            </w:tcBorders>
            <w:vAlign w:val="center"/>
            <w:hideMark/>
          </w:tcPr>
          <w:p w:rsidR="00C96A5B" w:rsidRDefault="00C96A5B" w:rsidP="00E558D1">
            <w:pPr>
              <w:rPr>
                <w:rFonts w:eastAsiaTheme="minorEastAsia"/>
                <w:sz w:val="24"/>
                <w:szCs w:val="24"/>
              </w:rPr>
            </w:pPr>
          </w:p>
        </w:tc>
        <w:tc>
          <w:tcPr>
            <w:tcW w:w="236"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c>
          <w:tcPr>
            <w:tcW w:w="545"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71"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c>
          <w:tcPr>
            <w:tcW w:w="531" w:type="dxa"/>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min.</w:t>
            </w:r>
          </w:p>
        </w:tc>
        <w:tc>
          <w:tcPr>
            <w:tcW w:w="516" w:type="dxa"/>
            <w:gridSpan w:val="2"/>
            <w:tcBorders>
              <w:top w:val="nil"/>
              <w:left w:val="nil"/>
              <w:bottom w:val="double" w:sz="4" w:space="0" w:color="auto"/>
              <w:right w:val="single" w:sz="8" w:space="0" w:color="auto"/>
            </w:tcBorders>
            <w:noWrap/>
            <w:tcMar>
              <w:top w:w="0" w:type="dxa"/>
              <w:left w:w="108" w:type="dxa"/>
              <w:bottom w:w="0" w:type="dxa"/>
              <w:right w:w="108" w:type="dxa"/>
            </w:tcMar>
            <w:hideMark/>
          </w:tcPr>
          <w:p w:rsidR="00C96A5B" w:rsidRDefault="00C96A5B" w:rsidP="00E558D1">
            <w:pPr>
              <w:jc w:val="center"/>
            </w:pPr>
            <w:r>
              <w:rPr>
                <w:sz w:val="16"/>
                <w:szCs w:val="16"/>
              </w:rPr>
              <w:t>max</w:t>
            </w:r>
          </w:p>
        </w:tc>
      </w:tr>
      <w:tr w:rsidR="00C96A5B" w:rsidTr="00E558D1">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0/31,5</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4</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7</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20</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25</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r>
      <w:tr w:rsidR="00C96A5B" w:rsidTr="00E558D1">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0/45</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4</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7</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20</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10</w:t>
            </w:r>
          </w:p>
        </w:tc>
        <w:tc>
          <w:tcPr>
            <w:tcW w:w="5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r>
      <w:tr w:rsidR="00C96A5B" w:rsidTr="00E558D1">
        <w:tc>
          <w:tcPr>
            <w:tcW w:w="11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0/63</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4</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15</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7</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20</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25</w:t>
            </w:r>
          </w:p>
        </w:tc>
        <w:tc>
          <w:tcPr>
            <w:tcW w:w="545"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w:t>
            </w:r>
          </w:p>
        </w:tc>
        <w:tc>
          <w:tcPr>
            <w:tcW w:w="531"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10</w:t>
            </w:r>
          </w:p>
        </w:tc>
        <w:tc>
          <w:tcPr>
            <w:tcW w:w="51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jc w:val="center"/>
            </w:pPr>
            <w:r>
              <w:t>25</w:t>
            </w:r>
          </w:p>
        </w:tc>
      </w:tr>
      <w:tr w:rsidR="00C96A5B" w:rsidTr="00E558D1">
        <w:tc>
          <w:tcPr>
            <w:tcW w:w="1125" w:type="dxa"/>
            <w:vAlign w:val="center"/>
            <w:hideMark/>
          </w:tcPr>
          <w:p w:rsidR="00C96A5B" w:rsidRDefault="00C96A5B" w:rsidP="00E558D1"/>
        </w:tc>
        <w:tc>
          <w:tcPr>
            <w:tcW w:w="525" w:type="dxa"/>
            <w:vAlign w:val="center"/>
            <w:hideMark/>
          </w:tcPr>
          <w:p w:rsidR="00C96A5B" w:rsidRDefault="00C96A5B" w:rsidP="00E558D1"/>
        </w:tc>
        <w:tc>
          <w:tcPr>
            <w:tcW w:w="495" w:type="dxa"/>
            <w:vAlign w:val="center"/>
            <w:hideMark/>
          </w:tcPr>
          <w:p w:rsidR="00C96A5B" w:rsidRDefault="00C96A5B" w:rsidP="00E558D1"/>
        </w:tc>
        <w:tc>
          <w:tcPr>
            <w:tcW w:w="15" w:type="dxa"/>
            <w:vAlign w:val="center"/>
            <w:hideMark/>
          </w:tcPr>
          <w:p w:rsidR="00C96A5B" w:rsidRDefault="00C96A5B" w:rsidP="00E558D1"/>
        </w:tc>
        <w:tc>
          <w:tcPr>
            <w:tcW w:w="525" w:type="dxa"/>
            <w:vAlign w:val="center"/>
            <w:hideMark/>
          </w:tcPr>
          <w:p w:rsidR="00C96A5B" w:rsidRDefault="00C96A5B" w:rsidP="00E558D1"/>
        </w:tc>
        <w:tc>
          <w:tcPr>
            <w:tcW w:w="495" w:type="dxa"/>
            <w:vAlign w:val="center"/>
            <w:hideMark/>
          </w:tcPr>
          <w:p w:rsidR="00C96A5B" w:rsidRDefault="00C96A5B" w:rsidP="00E558D1"/>
        </w:tc>
        <w:tc>
          <w:tcPr>
            <w:tcW w:w="15" w:type="dxa"/>
            <w:vAlign w:val="center"/>
            <w:hideMark/>
          </w:tcPr>
          <w:p w:rsidR="00C96A5B" w:rsidRDefault="00C96A5B" w:rsidP="00E558D1"/>
        </w:tc>
        <w:tc>
          <w:tcPr>
            <w:tcW w:w="525" w:type="dxa"/>
            <w:vAlign w:val="center"/>
            <w:hideMark/>
          </w:tcPr>
          <w:p w:rsidR="00C96A5B" w:rsidRDefault="00C96A5B" w:rsidP="00E558D1"/>
        </w:tc>
        <w:tc>
          <w:tcPr>
            <w:tcW w:w="495" w:type="dxa"/>
            <w:vAlign w:val="center"/>
            <w:hideMark/>
          </w:tcPr>
          <w:p w:rsidR="00C96A5B" w:rsidRDefault="00C96A5B" w:rsidP="00E558D1"/>
        </w:tc>
        <w:tc>
          <w:tcPr>
            <w:tcW w:w="15" w:type="dxa"/>
            <w:vAlign w:val="center"/>
            <w:hideMark/>
          </w:tcPr>
          <w:p w:rsidR="00C96A5B" w:rsidRDefault="00C96A5B" w:rsidP="00E558D1"/>
        </w:tc>
        <w:tc>
          <w:tcPr>
            <w:tcW w:w="525" w:type="dxa"/>
            <w:vAlign w:val="center"/>
            <w:hideMark/>
          </w:tcPr>
          <w:p w:rsidR="00C96A5B" w:rsidRDefault="00C96A5B" w:rsidP="00E558D1"/>
        </w:tc>
        <w:tc>
          <w:tcPr>
            <w:tcW w:w="495" w:type="dxa"/>
            <w:vAlign w:val="center"/>
            <w:hideMark/>
          </w:tcPr>
          <w:p w:rsidR="00C96A5B" w:rsidRDefault="00C96A5B" w:rsidP="00E558D1"/>
        </w:tc>
        <w:tc>
          <w:tcPr>
            <w:tcW w:w="15" w:type="dxa"/>
            <w:vAlign w:val="center"/>
            <w:hideMark/>
          </w:tcPr>
          <w:p w:rsidR="00C96A5B" w:rsidRDefault="00C96A5B" w:rsidP="00E558D1"/>
        </w:tc>
        <w:tc>
          <w:tcPr>
            <w:tcW w:w="525" w:type="dxa"/>
            <w:vAlign w:val="center"/>
            <w:hideMark/>
          </w:tcPr>
          <w:p w:rsidR="00C96A5B" w:rsidRDefault="00C96A5B" w:rsidP="00E558D1"/>
        </w:tc>
        <w:tc>
          <w:tcPr>
            <w:tcW w:w="495" w:type="dxa"/>
            <w:vAlign w:val="center"/>
            <w:hideMark/>
          </w:tcPr>
          <w:p w:rsidR="00C96A5B" w:rsidRDefault="00C96A5B" w:rsidP="00E558D1"/>
        </w:tc>
        <w:tc>
          <w:tcPr>
            <w:tcW w:w="15" w:type="dxa"/>
            <w:vAlign w:val="center"/>
            <w:hideMark/>
          </w:tcPr>
          <w:p w:rsidR="00C96A5B" w:rsidRDefault="00C96A5B" w:rsidP="00E558D1"/>
        </w:tc>
        <w:tc>
          <w:tcPr>
            <w:tcW w:w="525" w:type="dxa"/>
            <w:vAlign w:val="center"/>
            <w:hideMark/>
          </w:tcPr>
          <w:p w:rsidR="00C96A5B" w:rsidRDefault="00C96A5B" w:rsidP="00E558D1"/>
        </w:tc>
        <w:tc>
          <w:tcPr>
            <w:tcW w:w="495" w:type="dxa"/>
            <w:vAlign w:val="center"/>
            <w:hideMark/>
          </w:tcPr>
          <w:p w:rsidR="00C96A5B" w:rsidRDefault="00C96A5B" w:rsidP="00E558D1"/>
        </w:tc>
        <w:tc>
          <w:tcPr>
            <w:tcW w:w="15" w:type="dxa"/>
            <w:vAlign w:val="center"/>
            <w:hideMark/>
          </w:tcPr>
          <w:p w:rsidR="00C96A5B" w:rsidRDefault="00C96A5B" w:rsidP="00E558D1"/>
        </w:tc>
        <w:tc>
          <w:tcPr>
            <w:tcW w:w="540" w:type="dxa"/>
            <w:vAlign w:val="center"/>
            <w:hideMark/>
          </w:tcPr>
          <w:p w:rsidR="00C96A5B" w:rsidRDefault="00C96A5B" w:rsidP="00E558D1"/>
        </w:tc>
        <w:tc>
          <w:tcPr>
            <w:tcW w:w="555" w:type="dxa"/>
            <w:vAlign w:val="center"/>
            <w:hideMark/>
          </w:tcPr>
          <w:p w:rsidR="00C96A5B" w:rsidRDefault="00C96A5B" w:rsidP="00E558D1"/>
        </w:tc>
        <w:tc>
          <w:tcPr>
            <w:tcW w:w="15" w:type="dxa"/>
            <w:vAlign w:val="center"/>
            <w:hideMark/>
          </w:tcPr>
          <w:p w:rsidR="00C96A5B" w:rsidRDefault="00C96A5B" w:rsidP="00E558D1"/>
        </w:tc>
        <w:tc>
          <w:tcPr>
            <w:tcW w:w="525" w:type="dxa"/>
            <w:vAlign w:val="center"/>
            <w:hideMark/>
          </w:tcPr>
          <w:p w:rsidR="00C96A5B" w:rsidRDefault="00C96A5B" w:rsidP="00E558D1"/>
        </w:tc>
        <w:tc>
          <w:tcPr>
            <w:tcW w:w="495" w:type="dxa"/>
            <w:vAlign w:val="center"/>
            <w:hideMark/>
          </w:tcPr>
          <w:p w:rsidR="00C96A5B" w:rsidRDefault="00C96A5B" w:rsidP="00E558D1"/>
        </w:tc>
        <w:tc>
          <w:tcPr>
            <w:tcW w:w="15" w:type="dxa"/>
            <w:vAlign w:val="center"/>
            <w:hideMark/>
          </w:tcPr>
          <w:p w:rsidR="00C96A5B" w:rsidRDefault="00C96A5B" w:rsidP="00E558D1"/>
        </w:tc>
      </w:tr>
    </w:tbl>
    <w:p w:rsidR="00C96A5B" w:rsidRDefault="00C96A5B" w:rsidP="00C96A5B">
      <w:pPr>
        <w:rPr>
          <w:rFonts w:eastAsiaTheme="minorEastAsia"/>
          <w:sz w:val="24"/>
          <w:szCs w:val="24"/>
        </w:rPr>
      </w:pPr>
      <w:r>
        <w:t xml:space="preserve">              </w:t>
      </w:r>
    </w:p>
    <w:p w:rsidR="00C96A5B" w:rsidRDefault="00C96A5B" w:rsidP="00C96A5B">
      <w:pPr>
        <w:ind w:firstLine="709"/>
      </w:pPr>
      <w:r>
        <w:t>Mieszanki kruszyw stosowane do warstw podbudów zasadniczych powinny spełniać wymagania wg tablicy 4. Wymagania wobec mieszanek przeznaczonych do warstw podbudowy zasadniczej odnośnie wrażliwości na mróz (wskaźnik SE), dotyczą badania materiału po pięciokrotnym zagęszczeniu metoda Proctora według PN-EN 13286-2 [18]. Nie stawia się wymagań wobec wodoprzepuszczalności zagęszczonej mieszanki niezwiązanej do podbudowy zasadniczej, o ile szczegółowe rozwiązania nie przewidują tego.</w:t>
      </w:r>
    </w:p>
    <w:p w:rsidR="00C96A5B" w:rsidRDefault="00C96A5B" w:rsidP="00C96A5B">
      <w:pPr>
        <w:ind w:firstLine="708"/>
      </w:pPr>
      <w:r>
        <w:t>Zawartość wody w mieszankach kruszyw powinna odpowiadać wymaganej zawartości wody w trakcie wbudowywania i zagęszczania określonej metodą Proctora  według  PN-EN 13286-2 [18], w granicach podanych w tablicy 4.</w:t>
      </w:r>
    </w:p>
    <w:p w:rsidR="00C96A5B" w:rsidRDefault="00C96A5B" w:rsidP="00C96A5B">
      <w:pPr>
        <w:ind w:firstLine="708"/>
      </w:pPr>
      <w:r>
        <w:t>Badanie CBR mieszanek do podbudowy zasadniczej należy wykonać na mieszance zagęszczonej metodą Proctora  do wskaźnika zagęszczenia Is = 1,0 i po 96 godzinach przechowywania jej w wodzie. CBR należy oznaczyć wg PN-EN 13286-47 [19], a wymaganie przyjąć wg tablicy 4.</w:t>
      </w:r>
    </w:p>
    <w:p w:rsidR="00C96A5B" w:rsidRDefault="00C96A5B" w:rsidP="00C96A5B">
      <w:pPr>
        <w:pStyle w:val="Nagwek2"/>
      </w:pPr>
      <w:r>
        <w:t xml:space="preserve">Istotne cechy środowiskowe </w:t>
      </w:r>
    </w:p>
    <w:p w:rsidR="00C96A5B" w:rsidRDefault="00C96A5B" w:rsidP="00C96A5B">
      <w:pPr>
        <w:ind w:firstLine="708"/>
        <w:rPr>
          <w:rFonts w:eastAsiaTheme="minorEastAsia"/>
        </w:rPr>
      </w:pPr>
      <w:r>
        <w:t xml:space="preserve">Zgodnie z dotychczasowymi doświadczeniami, dotyczącymi stosowania w drogownictwie mieszanek z kruszyw naturalnych oraz gruntów, można je zaliczyć do wyrobów budowlanych, które nie oddziaływają szkodliwie na środowisko. Większość substancji niebezpiecznych określonych w dyrektywie Rady 76/769/EWG zazwyczaj nie występuje w takich mieszankach. W przypadku stosowania w mieszankach kruszyw w stosunku do których brak jest jeszcze ustalonych zasad, np. kruszywa z recyklingu i kruszywa z pewnych odpadów przemysłowych, zaleca się zachowanie ostrożności. Przydatność takich kruszyw, jeśli jest to wymagane, może być oceniona zgodnie z wymaganiami w miejscu ich stosowania. W przypadkach wątpliwych należy uzyskać ocenę takiej mieszanki przez właściwe jednostki. </w:t>
      </w:r>
    </w:p>
    <w:p w:rsidR="00C96A5B" w:rsidRDefault="00C96A5B" w:rsidP="00C96A5B">
      <w:pPr>
        <w:spacing w:before="120" w:after="120"/>
      </w:pPr>
      <w:r>
        <w:t>Wymagania wobec mieszanek</w:t>
      </w:r>
    </w:p>
    <w:p w:rsidR="00C96A5B" w:rsidRDefault="00C96A5B" w:rsidP="00C96A5B">
      <w:pPr>
        <w:ind w:firstLine="708"/>
      </w:pPr>
      <w:r>
        <w:t>W tablicy 4 przedstawia się zbiorcze zestawienie wymagań wobec mieszanek kruszywa niezwiązanego w warstwie podbudowy zasadniczej.</w:t>
      </w:r>
    </w:p>
    <w:p w:rsidR="00C96A5B" w:rsidRDefault="00C96A5B" w:rsidP="00C96A5B">
      <w:r>
        <w:t> </w:t>
      </w:r>
    </w:p>
    <w:p w:rsidR="00C96A5B" w:rsidRDefault="00C96A5B" w:rsidP="00C96A5B">
      <w:pPr>
        <w:pStyle w:val="Bezodstpw"/>
        <w:ind w:left="1134" w:hanging="1134"/>
      </w:pPr>
      <w:r>
        <w:t>Tablica 4.    Wymagania wobec  mieszanek kruszywa niezwiązanego w warstwie podbudowy zasadniczej</w:t>
      </w:r>
    </w:p>
    <w:p w:rsidR="00C96A5B" w:rsidRDefault="00C96A5B" w:rsidP="00C96A5B">
      <w:pPr>
        <w:pStyle w:val="Bezodstpw"/>
        <w:spacing w:before="120"/>
        <w:ind w:firstLine="0"/>
      </w:pPr>
      <w:r>
        <w:rPr>
          <w:sz w:val="22"/>
          <w:szCs w:val="22"/>
        </w:rPr>
        <w:lastRenderedPageBreak/>
        <w:t>Skróty użyte w tablicy: Kat. – kategoria właściwości,   wsk. – wskaźnik, wsp. – współczynnik</w:t>
      </w:r>
    </w:p>
    <w:p w:rsidR="00C96A5B" w:rsidRDefault="00C96A5B" w:rsidP="00C96A5B">
      <w:pPr>
        <w:pStyle w:val="Bezodstpw"/>
      </w:pPr>
      <w:r>
        <w:rPr>
          <w:sz w:val="18"/>
          <w:szCs w:val="18"/>
        </w:rPr>
        <w:t> </w:t>
      </w:r>
    </w:p>
    <w:tbl>
      <w:tblPr>
        <w:tblW w:w="0" w:type="auto"/>
        <w:tblCellMar>
          <w:left w:w="0" w:type="dxa"/>
          <w:right w:w="0" w:type="dxa"/>
        </w:tblCellMar>
        <w:tblLook w:val="04A0" w:firstRow="1" w:lastRow="0" w:firstColumn="1" w:lastColumn="0" w:noHBand="0" w:noVBand="1"/>
      </w:tblPr>
      <w:tblGrid>
        <w:gridCol w:w="3085"/>
        <w:gridCol w:w="723"/>
        <w:gridCol w:w="5194"/>
      </w:tblGrid>
      <w:tr w:rsidR="00C96A5B" w:rsidTr="00E558D1">
        <w:tc>
          <w:tcPr>
            <w:tcW w:w="30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96A5B" w:rsidRDefault="00C96A5B" w:rsidP="00E558D1">
            <w:pPr>
              <w:pStyle w:val="Bezodstpw"/>
              <w:ind w:firstLine="0"/>
              <w:jc w:val="center"/>
            </w:pPr>
            <w:r>
              <w:rPr>
                <w:sz w:val="20"/>
                <w:szCs w:val="20"/>
              </w:rPr>
              <w:t>Właściwość</w:t>
            </w:r>
          </w:p>
          <w:p w:rsidR="00C96A5B" w:rsidRDefault="00C96A5B" w:rsidP="00E558D1">
            <w:pPr>
              <w:pStyle w:val="Bezodstpw"/>
              <w:ind w:firstLine="0"/>
              <w:jc w:val="center"/>
            </w:pPr>
            <w:r>
              <w:rPr>
                <w:sz w:val="20"/>
                <w:szCs w:val="20"/>
              </w:rPr>
              <w:t>kruszywa</w:t>
            </w:r>
          </w:p>
        </w:tc>
        <w:tc>
          <w:tcPr>
            <w:tcW w:w="59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center"/>
            </w:pPr>
            <w:r>
              <w:rPr>
                <w:sz w:val="20"/>
                <w:szCs w:val="20"/>
              </w:rPr>
              <w:t>Wymagania wobec  mieszanek kruszywa niezwiązanego w warstwie podbudowy zasadniczej pod nawierzchnią drogi obciążonej ruchem  kategorii KR1 ÷ KR6</w:t>
            </w:r>
          </w:p>
        </w:tc>
      </w:tr>
      <w:tr w:rsidR="00C96A5B" w:rsidTr="00E558D1">
        <w:trPr>
          <w:trHeight w:val="4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A5B" w:rsidRDefault="00C96A5B" w:rsidP="00E558D1">
            <w:pPr>
              <w:rPr>
                <w:rFonts w:eastAsiaTheme="minorEastAsia"/>
                <w:sz w:val="24"/>
                <w:szCs w:val="24"/>
              </w:rPr>
            </w:pP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6A5B" w:rsidRDefault="00C96A5B" w:rsidP="00E558D1">
            <w:pPr>
              <w:pStyle w:val="Bezodstpw"/>
              <w:ind w:firstLine="0"/>
              <w:jc w:val="center"/>
            </w:pPr>
            <w:r>
              <w:rPr>
                <w:sz w:val="20"/>
                <w:szCs w:val="20"/>
              </w:rPr>
              <w:t>Punkt</w:t>
            </w:r>
          </w:p>
          <w:p w:rsidR="00C96A5B" w:rsidRDefault="00C96A5B" w:rsidP="00E558D1">
            <w:pPr>
              <w:pStyle w:val="Bezodstpw"/>
              <w:ind w:firstLine="0"/>
              <w:jc w:val="center"/>
            </w:pPr>
            <w:r>
              <w:rPr>
                <w:sz w:val="20"/>
                <w:szCs w:val="20"/>
              </w:rPr>
              <w:t>PN-EN</w:t>
            </w:r>
          </w:p>
          <w:p w:rsidR="00C96A5B" w:rsidRDefault="00C96A5B" w:rsidP="00E558D1">
            <w:pPr>
              <w:pStyle w:val="Bezodstpw"/>
              <w:ind w:firstLine="0"/>
              <w:jc w:val="center"/>
            </w:pPr>
            <w:r>
              <w:rPr>
                <w:sz w:val="20"/>
                <w:szCs w:val="20"/>
              </w:rPr>
              <w:t>13285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96A5B" w:rsidRDefault="00C96A5B" w:rsidP="00E558D1">
            <w:pPr>
              <w:pStyle w:val="Bezodstpw"/>
              <w:ind w:firstLine="0"/>
              <w:jc w:val="center"/>
            </w:pPr>
            <w:r>
              <w:rPr>
                <w:sz w:val="20"/>
                <w:szCs w:val="20"/>
              </w:rPr>
              <w:t>Wymagania</w:t>
            </w:r>
          </w:p>
          <w:p w:rsidR="00C96A5B" w:rsidRDefault="00C96A5B" w:rsidP="00E558D1">
            <w:pPr>
              <w:pStyle w:val="Bezodstpw"/>
              <w:ind w:firstLine="0"/>
              <w:jc w:val="center"/>
            </w:pPr>
            <w:r>
              <w:rPr>
                <w:sz w:val="20"/>
                <w:szCs w:val="20"/>
              </w:rPr>
              <w:t> </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Uziarnienie mieszanek</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4.3.1</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0/31,5; 0/45; 0/63 mm</w:t>
            </w:r>
          </w:p>
        </w:tc>
      </w:tr>
      <w:tr w:rsidR="00C96A5B" w:rsidTr="00E558D1">
        <w:trPr>
          <w:trHeight w:val="433"/>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Maksymalna zawartość pyłów:</w:t>
            </w:r>
          </w:p>
          <w:p w:rsidR="00C96A5B" w:rsidRDefault="00C96A5B" w:rsidP="00E558D1">
            <w:pPr>
              <w:pStyle w:val="Bezodstpw"/>
              <w:ind w:firstLine="0"/>
              <w:jc w:val="left"/>
            </w:pPr>
            <w:r>
              <w:rPr>
                <w:sz w:val="20"/>
                <w:szCs w:val="20"/>
              </w:rPr>
              <w:t>Kat.UF</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4.3.2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Kat. UF</w:t>
            </w:r>
            <w:r>
              <w:rPr>
                <w:sz w:val="20"/>
                <w:szCs w:val="20"/>
                <w:vertAlign w:val="subscript"/>
              </w:rPr>
              <w:t>9</w:t>
            </w:r>
            <w:r>
              <w:rPr>
                <w:sz w:val="20"/>
                <w:szCs w:val="20"/>
              </w:rPr>
              <w:t>  (tj. masa frakcji przechodzącej przez sito 0,063 mm powinna być ≤ 9%)</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Minimalna zawartość pyłów:</w:t>
            </w:r>
          </w:p>
          <w:p w:rsidR="00C96A5B" w:rsidRDefault="00C96A5B" w:rsidP="00E558D1">
            <w:pPr>
              <w:pStyle w:val="Bezodstpw"/>
              <w:ind w:firstLine="0"/>
              <w:jc w:val="left"/>
            </w:pPr>
            <w:r>
              <w:rPr>
                <w:sz w:val="20"/>
                <w:szCs w:val="20"/>
              </w:rPr>
              <w:t xml:space="preserve">Kat. LF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4.3.2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Kat. LF</w:t>
            </w:r>
            <w:r>
              <w:rPr>
                <w:sz w:val="20"/>
                <w:szCs w:val="20"/>
                <w:vertAlign w:val="subscript"/>
              </w:rPr>
              <w:t xml:space="preserve">NR  </w:t>
            </w:r>
            <w:r>
              <w:rPr>
                <w:sz w:val="20"/>
                <w:szCs w:val="20"/>
              </w:rPr>
              <w:t>(tj. brak wymagań)</w:t>
            </w:r>
          </w:p>
        </w:tc>
      </w:tr>
      <w:tr w:rsidR="00C96A5B" w:rsidTr="00E558D1">
        <w:trPr>
          <w:trHeight w:val="671"/>
        </w:trPr>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Zawartość nadziarna:</w:t>
            </w:r>
          </w:p>
          <w:p w:rsidR="00C96A5B" w:rsidRDefault="00C96A5B" w:rsidP="00E558D1">
            <w:pPr>
              <w:pStyle w:val="Bezodstpw"/>
              <w:ind w:firstLine="0"/>
              <w:jc w:val="left"/>
            </w:pPr>
            <w:r>
              <w:rPr>
                <w:sz w:val="20"/>
                <w:szCs w:val="20"/>
              </w:rPr>
              <w:t>Kat.OC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4.3.3</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Kat. OC</w:t>
            </w:r>
            <w:r>
              <w:rPr>
                <w:sz w:val="20"/>
                <w:szCs w:val="20"/>
                <w:vertAlign w:val="subscript"/>
              </w:rPr>
              <w:t>90</w:t>
            </w:r>
            <w:r>
              <w:rPr>
                <w:sz w:val="20"/>
                <w:szCs w:val="20"/>
              </w:rPr>
              <w:t xml:space="preserve"> (tj. procent przechodzącej masy przez sito 1,4D</w:t>
            </w:r>
            <w:r>
              <w:rPr>
                <w:sz w:val="20"/>
                <w:szCs w:val="20"/>
                <w:vertAlign w:val="superscript"/>
              </w:rPr>
              <w:t>*)</w:t>
            </w:r>
            <w:r>
              <w:rPr>
                <w:sz w:val="20"/>
                <w:szCs w:val="20"/>
              </w:rPr>
              <w:t xml:space="preserve"> powinien wynosić 100%, a przechodzącej przez sito D</w:t>
            </w:r>
            <w:r>
              <w:rPr>
                <w:sz w:val="20"/>
                <w:szCs w:val="20"/>
                <w:vertAlign w:val="superscript"/>
              </w:rPr>
              <w:t>**)</w:t>
            </w:r>
            <w:r>
              <w:rPr>
                <w:sz w:val="20"/>
                <w:szCs w:val="20"/>
              </w:rPr>
              <w:t xml:space="preserve"> powinien wynosić 90-99%)</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Wymagania wobec uziarnienia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4.4.1</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Krzywe graniczne uziarnienia według rys. 1÷3</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Wymagania wobec jednorodności uziarnienia poszczególnych partii – porównanie z deklarowaną przez producenta wartością (S)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4.4.2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Wg tab. 2</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Wymagania wobec jednorodności uziarnienia na sitach kontrolnych – różnice w przesiewach</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4.4.2</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Wg tab. 3</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Wrażliwość na mróz; wskaźnik piaskowy SE</w:t>
            </w:r>
            <w:r>
              <w:rPr>
                <w:sz w:val="20"/>
                <w:szCs w:val="20"/>
                <w:vertAlign w:val="superscript"/>
              </w:rPr>
              <w:t>***)</w:t>
            </w:r>
            <w:r>
              <w:rPr>
                <w:sz w:val="20"/>
                <w:szCs w:val="20"/>
              </w:rPr>
              <w:t>, co najmniej</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45</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Odporność na rozdrabnianie (dotyczy frakcji 10/14 mm odsianej z mieszanki) wg PN-EN 1097-1 [9], kat. nie wyższa niż</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Kat. LA</w:t>
            </w:r>
            <w:r>
              <w:rPr>
                <w:sz w:val="20"/>
                <w:szCs w:val="20"/>
                <w:vertAlign w:val="subscript"/>
              </w:rPr>
              <w:t>35</w:t>
            </w:r>
            <w:r>
              <w:rPr>
                <w:sz w:val="20"/>
                <w:szCs w:val="20"/>
              </w:rPr>
              <w:t>  (tj. współczynnik Los Angeles ≤ 35)</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Odporność na ścieranie (dotyczy frakcji 10/14 mm odsianej z mieszanki) wg PN-EN 1097-1 [9], kat. M</w:t>
            </w:r>
            <w:r>
              <w:rPr>
                <w:sz w:val="20"/>
                <w:szCs w:val="20"/>
                <w:vertAlign w:val="subscript"/>
              </w:rPr>
              <w:t>DE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Deklarowana</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Mrozoodporność (dotyczy frakcji kruszywa 8/16 mm odsianej z mieszanki) wg PN-EN 1367-1 [12]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Kat. F4  (tj. zamrażanie-rozmrażanie, procent masy ≤ 4)</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Wartość CBR po zagęszczeniu do wskaźnika zagęszczenia I</w:t>
            </w:r>
            <w:r>
              <w:rPr>
                <w:sz w:val="20"/>
                <w:szCs w:val="20"/>
                <w:vertAlign w:val="subscript"/>
              </w:rPr>
              <w:t>S</w:t>
            </w:r>
            <w:r>
              <w:rPr>
                <w:sz w:val="20"/>
                <w:szCs w:val="20"/>
              </w:rPr>
              <w:t>=1,0 i moczeniu w wodzie 96 h, co najmniej</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 80</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Wodoprzepuszczalność mieszanki w warstwie odsączającej po zagęszczeniu metodą Proctora do wskaźnika zagęszczenia I</w:t>
            </w:r>
            <w:r>
              <w:rPr>
                <w:sz w:val="20"/>
                <w:szCs w:val="20"/>
                <w:vertAlign w:val="subscript"/>
              </w:rPr>
              <w:t>S</w:t>
            </w:r>
            <w:r>
              <w:rPr>
                <w:sz w:val="20"/>
                <w:szCs w:val="20"/>
              </w:rPr>
              <w:t>=1,0; wsp. filtracji ”k”, co najmniej cm/s</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Brak wymagań</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Zawartość wody w mieszance zagęszczanej; % (m/m) wilgotności optymalnej wg metody Proctora</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80-100</w:t>
            </w:r>
          </w:p>
        </w:tc>
      </w:tr>
      <w:tr w:rsidR="00C96A5B" w:rsidTr="00E558D1">
        <w:tc>
          <w:tcPr>
            <w:tcW w:w="30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jc w:val="left"/>
            </w:pPr>
            <w:r>
              <w:rPr>
                <w:sz w:val="20"/>
                <w:szCs w:val="20"/>
              </w:rPr>
              <w:t>Inne cechy środowiskowe</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4.5</w:t>
            </w:r>
          </w:p>
        </w:tc>
        <w:tc>
          <w:tcPr>
            <w:tcW w:w="5194" w:type="dxa"/>
            <w:tcBorders>
              <w:top w:val="nil"/>
              <w:left w:val="nil"/>
              <w:bottom w:val="single" w:sz="8" w:space="0" w:color="auto"/>
              <w:right w:val="single" w:sz="8" w:space="0" w:color="auto"/>
            </w:tcBorders>
            <w:noWrap/>
            <w:tcMar>
              <w:top w:w="0" w:type="dxa"/>
              <w:left w:w="108" w:type="dxa"/>
              <w:bottom w:w="0" w:type="dxa"/>
              <w:right w:w="108" w:type="dxa"/>
            </w:tcMar>
            <w:hideMark/>
          </w:tcPr>
          <w:p w:rsidR="00C96A5B" w:rsidRDefault="00C96A5B" w:rsidP="00E558D1">
            <w:pPr>
              <w:pStyle w:val="Bezodstpw"/>
              <w:ind w:firstLine="0"/>
            </w:pPr>
            <w:r>
              <w:rPr>
                <w:sz w:val="20"/>
                <w:szCs w:val="20"/>
              </w:rPr>
              <w:t xml:space="preserve">Większość substancji niebezpiecznych określonych w dyrektywie Rady 76/769/EWG zazwyczaj nie występuje w źródłach kruszywa pochodzenia mineralnego. Jednak w odniesieniu do kruszyw sztucznych i odpadowych należy </w:t>
            </w:r>
            <w:r>
              <w:rPr>
                <w:sz w:val="20"/>
                <w:szCs w:val="20"/>
              </w:rPr>
              <w:lastRenderedPageBreak/>
              <w:t>badać czy zawartość substancji niebezpiecznych nie przekracza wartości dopuszczalnych wg odrębnych przepisów</w:t>
            </w:r>
          </w:p>
        </w:tc>
      </w:tr>
    </w:tbl>
    <w:p w:rsidR="00C96A5B" w:rsidRDefault="00C96A5B" w:rsidP="00C96A5B">
      <w:pPr>
        <w:rPr>
          <w:rFonts w:eastAsiaTheme="minorEastAsia"/>
        </w:rPr>
      </w:pPr>
      <w:r>
        <w:rPr>
          <w:sz w:val="18"/>
          <w:szCs w:val="18"/>
          <w:vertAlign w:val="superscript"/>
        </w:rPr>
        <w:lastRenderedPageBreak/>
        <w:t>*)</w:t>
      </w:r>
      <w:r>
        <w:rPr>
          <w:sz w:val="18"/>
          <w:szCs w:val="18"/>
        </w:rPr>
        <w:t xml:space="preserve"> Gdy wartości obliczone z 1,4D oraz d/2 nie są dokładnymi wymiarami sit serii ISO 565/R20, należy przyjąć następny niższy wymiar sita. Jeśli D=90 mm należy przyjąć wymiar sita 125 mm jako wartość nadziarna.</w:t>
      </w:r>
    </w:p>
    <w:p w:rsidR="00C96A5B" w:rsidRDefault="00C96A5B" w:rsidP="00C96A5B">
      <w:r>
        <w:rPr>
          <w:sz w:val="18"/>
          <w:szCs w:val="18"/>
          <w:vertAlign w:val="superscript"/>
        </w:rPr>
        <w:t>**)</w:t>
      </w:r>
      <w:r>
        <w:rPr>
          <w:sz w:val="18"/>
          <w:szCs w:val="18"/>
        </w:rPr>
        <w:t xml:space="preserve"> Procentowa zawartość ziaren przechodzących przez sito D może być większa niż 99% masy, ale w takich przypadkach dostawca powinien zadeklarować typowe uziarnienie.</w:t>
      </w:r>
    </w:p>
    <w:p w:rsidR="00C96A5B" w:rsidRDefault="00C96A5B" w:rsidP="00C96A5B">
      <w:r>
        <w:rPr>
          <w:sz w:val="18"/>
          <w:szCs w:val="18"/>
          <w:vertAlign w:val="superscript"/>
        </w:rPr>
        <w:t xml:space="preserve">***) </w:t>
      </w:r>
      <w:r>
        <w:rPr>
          <w:sz w:val="18"/>
          <w:szCs w:val="18"/>
        </w:rPr>
        <w:t>Badanie wskaźnika piaskowego SE należy wykonać na mieszance po pięciokrotnym zagęszczeniu metodą Proctora wg PN-EN 13286-2 [18].</w:t>
      </w:r>
    </w:p>
    <w:p w:rsidR="00C96A5B" w:rsidRDefault="00C96A5B" w:rsidP="00C96A5B">
      <w:pPr>
        <w:pStyle w:val="Nagwek2"/>
      </w:pPr>
      <w:r>
        <w:t>5.5. Odcinek próbny</w:t>
      </w:r>
    </w:p>
    <w:p w:rsidR="00C96A5B" w:rsidRDefault="00C96A5B" w:rsidP="00C96A5B">
      <w:pPr>
        <w:ind w:firstLine="709"/>
        <w:rPr>
          <w:rFonts w:eastAsiaTheme="minorEastAsia"/>
        </w:rPr>
      </w:pPr>
      <w:r>
        <w:t xml:space="preserve">Jeżeli w ST przewidziano potrzebę wykonania odcinka próbnego, to przed rozpoczęciem robót, w terminie uzgodnionym z Inżynierem, Wykonawca powinien wykonać odcinek próbny w celu: </w:t>
      </w:r>
    </w:p>
    <w:p w:rsidR="00C96A5B" w:rsidRDefault="00C96A5B" w:rsidP="00C96A5B">
      <w:pPr>
        <w:ind w:left="360" w:hanging="360"/>
      </w:pPr>
      <w:r>
        <w:t>1.</w:t>
      </w:r>
      <w:r>
        <w:rPr>
          <w:sz w:val="14"/>
          <w:szCs w:val="14"/>
        </w:rPr>
        <w:t xml:space="preserve">      </w:t>
      </w:r>
      <w:r>
        <w:t>stwierdzenia czy właściwy jest sprzęt budowlany do produkcji mieszanki oraz jej rozkładania i zagęszczania,</w:t>
      </w:r>
    </w:p>
    <w:p w:rsidR="00C96A5B" w:rsidRDefault="00C96A5B" w:rsidP="00C96A5B">
      <w:pPr>
        <w:ind w:left="360" w:hanging="360"/>
      </w:pPr>
      <w:r>
        <w:t>2.</w:t>
      </w:r>
      <w:r>
        <w:rPr>
          <w:sz w:val="14"/>
          <w:szCs w:val="14"/>
        </w:rPr>
        <w:t xml:space="preserve">      </w:t>
      </w:r>
      <w:r>
        <w:t>określenia grubości wykonywanej warstwy w stanie luźnym, koniecznej do uzyskania wymaganej grubości warstwy po zagęszczeniu,</w:t>
      </w:r>
    </w:p>
    <w:p w:rsidR="00C96A5B" w:rsidRDefault="00C96A5B" w:rsidP="00C96A5B">
      <w:pPr>
        <w:ind w:left="360" w:hanging="360"/>
      </w:pPr>
      <w:r>
        <w:t>3.</w:t>
      </w:r>
      <w:r>
        <w:rPr>
          <w:sz w:val="14"/>
          <w:szCs w:val="14"/>
        </w:rPr>
        <w:t xml:space="preserve">      </w:t>
      </w:r>
      <w:r>
        <w:t>określenia liczby przejść sprzętu zagęszczającego, potrzebnej do uzyskania wymaganego wskaźnika zagęszczenia wykonywanej warstwy.</w:t>
      </w:r>
    </w:p>
    <w:p w:rsidR="00C96A5B" w:rsidRDefault="00C96A5B" w:rsidP="00C96A5B">
      <w:pPr>
        <w:ind w:firstLine="709"/>
      </w:pPr>
      <w:r>
        <w:t>Na odcinku próbnym Wykonawca powinien użyć takich materiałów oraz sprzętu do mieszania, rozkładania i zagęszczania, jakie będą stosowane do wykonania warstwy.</w:t>
      </w:r>
    </w:p>
    <w:p w:rsidR="00C96A5B" w:rsidRDefault="00C96A5B" w:rsidP="00C96A5B">
      <w:pPr>
        <w:ind w:firstLine="709"/>
      </w:pPr>
      <w:r>
        <w:t>Powierzchnia odcinka próbnego powinna wynosić od 400  do 800 m</w:t>
      </w:r>
      <w:r>
        <w:rPr>
          <w:vertAlign w:val="superscript"/>
        </w:rPr>
        <w:t>2</w:t>
      </w:r>
      <w:r>
        <w:t>.</w:t>
      </w:r>
    </w:p>
    <w:p w:rsidR="00C96A5B" w:rsidRDefault="00C96A5B" w:rsidP="00C96A5B">
      <w:pPr>
        <w:ind w:firstLine="709"/>
      </w:pPr>
      <w:r>
        <w:t>Odcinek próbny powinien być zlokalizowany w miejscu wskazanym przez Inżyniera.</w:t>
      </w:r>
    </w:p>
    <w:p w:rsidR="00C96A5B" w:rsidRDefault="00C96A5B" w:rsidP="00C96A5B">
      <w:pPr>
        <w:ind w:firstLine="709"/>
      </w:pPr>
      <w:r>
        <w:t>Wykonawca może przystąpić do wykonywania warstwy po zaakceptowaniu odcinka próbnego przez Inżyniera.</w:t>
      </w:r>
    </w:p>
    <w:p w:rsidR="00C96A5B" w:rsidRDefault="00C96A5B" w:rsidP="00C96A5B">
      <w:pPr>
        <w:pStyle w:val="Nagwek2"/>
      </w:pPr>
      <w:r>
        <w:t>5.6. Podłoże pod podbudowę zasadniczą</w:t>
      </w:r>
    </w:p>
    <w:p w:rsidR="00C96A5B" w:rsidRDefault="00C96A5B" w:rsidP="00C96A5B">
      <w:pPr>
        <w:rPr>
          <w:rFonts w:eastAsiaTheme="minorEastAsia"/>
        </w:rPr>
      </w:pPr>
      <w:r>
        <w:t>            Podłożem pod podbudowę zasadniczą jest podbudowa pomocnicza. Rodzaj podbudowy pomocniczej powinien być zgodny z ustaleniem dokumentacji projektowej. Wszystkie niezbędne cechy geometryczne podbudowy pomocniczej powinny umożliwić ułożenie na niej podbudowy zasadniczej.</w:t>
      </w:r>
    </w:p>
    <w:p w:rsidR="00C96A5B" w:rsidRDefault="00C96A5B" w:rsidP="00C96A5B">
      <w:r>
        <w:t>            Jeśli podbudowa pomocnicza wykonana jest z mieszanki kruszywa niezwiązanego to powinna być wykonana zgodnie z OST D-04.04.02a „Podbudowa pomocnicza z mieszanki kruszywa niezwiązanego” [4].</w:t>
      </w:r>
    </w:p>
    <w:p w:rsidR="00C96A5B" w:rsidRDefault="00C96A5B" w:rsidP="00C96A5B">
      <w:pPr>
        <w:pStyle w:val="Nagwek2"/>
      </w:pPr>
      <w:r>
        <w:t>5.7. Wytwarzanie mieszanki kruszywa na warstwę podbudowy zasadniczej</w:t>
      </w:r>
    </w:p>
    <w:p w:rsidR="00C96A5B" w:rsidRDefault="00C96A5B" w:rsidP="00C96A5B">
      <w:pPr>
        <w:ind w:firstLine="709"/>
        <w:rPr>
          <w:rFonts w:eastAsiaTheme="minorEastAsia"/>
        </w:rPr>
      </w:pPr>
      <w:r>
        <w:t>Mieszankę kruszywa o ściśle określonym uziarnieniu i wilgotności optymalnej należy wytwarzać w mieszarkach, gwarantujących otrzymanie jednorodnej mieszanki. Mieszarki (wytwórnie mieszanek kruszywa) stacjonarne lub mobilne powinny zapewnić ciągłość produkcji zgodną z receptą laboratoryjną.</w:t>
      </w:r>
    </w:p>
    <w:p w:rsidR="00C96A5B" w:rsidRDefault="00C96A5B" w:rsidP="00C96A5B">
      <w:r>
        <w:t>            Ze względu na konieczność zapewnienia mieszance jednorodności nie zaleca się wytwarzania mieszanki przez mieszanie poszczególnych frakcji kruszywa na drodze.</w:t>
      </w:r>
    </w:p>
    <w:p w:rsidR="00C96A5B" w:rsidRDefault="00C96A5B" w:rsidP="00C96A5B">
      <w:r>
        <w:t xml:space="preserve">            Przy produkcji mieszanki kruszywa należy prowadzić zakładową kontrolę produkcji mieszanek niezwiązanych, zgodnie z  WT-4 [20] załącznik C, a przy dostarczaniu mieszanki przez </w:t>
      </w:r>
      <w:r>
        <w:lastRenderedPageBreak/>
        <w:t>producenta/dostawcę należy stosować się do zasad deklarowania w odniesieniu do zakresu uziarnienia podanych w WT-4 [20] załącznik B.</w:t>
      </w:r>
    </w:p>
    <w:p w:rsidR="00C96A5B" w:rsidRDefault="00C96A5B" w:rsidP="00C96A5B">
      <w:pPr>
        <w:pStyle w:val="Nagwek2"/>
      </w:pPr>
      <w:r>
        <w:t xml:space="preserve">5.8. Wbudowanie mieszanki kruszywa </w:t>
      </w:r>
    </w:p>
    <w:p w:rsidR="00C96A5B" w:rsidRDefault="00C96A5B" w:rsidP="00C96A5B">
      <w:pPr>
        <w:rPr>
          <w:rFonts w:eastAsiaTheme="minorEastAsia"/>
        </w:rPr>
      </w:pPr>
      <w:r>
        <w:t>            Mieszanka kruszywa niezwiązanego po wyprodukowaniu powinna być od razu transportowana na miejsce wbudowania w taki sposób, aby nie uległa rozsegregowaniu i wysychaniu. Zaleca się w tym celu korzystanie z transportu samochodowego z zabezpieczoną (przykrytą) skrzynią ładunkową.</w:t>
      </w:r>
    </w:p>
    <w:p w:rsidR="00C96A5B" w:rsidRDefault="00C96A5B" w:rsidP="00C96A5B">
      <w:r>
        <w:t>            Mieszanka kruszywa powinna być rozkładana metodą zmechanizowaną przy użyciu zalecanej, elektronicznie sterowanej, rozkładarki, która wstępnie może zagęszczać układaną warstwę kruszywa. Rozkładana warstwa kruszywa powinna być jednakowej grubości, takiej aby jej ostateczna grubość po zagęszczeniu była równa grubości projektowanej. Grubość pojedynczo układanej warstwy nie może przekraczać 20 cm po zagęszczeniu. Jeżeli układana konstrukcja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C96A5B" w:rsidRDefault="00C96A5B" w:rsidP="00C96A5B">
      <w:r>
        <w:t>            Wilgotność mieszanki kruszywa podczas zagęszczania powinna odpowiadać wilgotności optymalnej, określonej według próby Proctora. Mieszanka o większej wilgotności powinna zostać osuszona przez mieszanie i napowietrzanie, np. przemieszanie jej mieszarką, kilkakrotne przesuwanie mieszanki równiarką.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C96A5B" w:rsidRDefault="00C96A5B" w:rsidP="00C96A5B">
      <w:r>
        <w:t>            Rozścieloną mieszankę kruszywa należy sprofilować równiarką lub ciężkim szablonem, do spadków poprzecznych i pochyleń podłużnych ustalonych w dokumentacji projektowej. W czasie profilowania należy wyrównać lokalne wgłębienia.</w:t>
      </w:r>
    </w:p>
    <w:p w:rsidR="00C96A5B" w:rsidRDefault="00C96A5B" w:rsidP="00C96A5B">
      <w:pPr>
        <w:pStyle w:val="Nagwek2"/>
      </w:pPr>
      <w:r>
        <w:t>5.9. Zagęszczanie mieszanki kruszywa</w:t>
      </w:r>
    </w:p>
    <w:p w:rsidR="00C96A5B" w:rsidRDefault="00C96A5B" w:rsidP="00C96A5B">
      <w:pPr>
        <w:rPr>
          <w:rFonts w:eastAsiaTheme="minorEastAsia"/>
        </w:rPr>
      </w:pPr>
      <w:r>
        <w:t>            Po wyprofilowaniu mieszanki kruszywa należy rozpocząć jej zagęszczanie, które należy kontynuować aż do osiągnięcia wymaganego w ST wskaźnika zagęszczenia.</w:t>
      </w:r>
    </w:p>
    <w:p w:rsidR="00C96A5B" w:rsidRDefault="00C96A5B" w:rsidP="00C96A5B">
      <w:r>
        <w:t>            Warstwę kruszywa niezwiązanego należy zagęszczać walcami ogumionymi, walcami wibracyjnymi i gładkimi. Kruszywo o przewadze ziaren grubych zaleca się zagęszczać najpierw walcami ogumionymi, a następnie walcami wibracyjnymi. Kruszywo o przewadze ziaren drobnych zaleca się zagęszczać najpierw walcami ogumionymi, a następnie gładkimi. W miejscach trudno dostępnych należy stosować zagęszczarki płytowe, ubijaki mechaniczne itp.</w:t>
      </w:r>
    </w:p>
    <w:p w:rsidR="00C96A5B" w:rsidRDefault="00C96A5B" w:rsidP="00C96A5B">
      <w:r>
        <w:t>            Zagęszczenie powinno być równomierne na całej szerokości warstwy.</w:t>
      </w:r>
    </w:p>
    <w:p w:rsidR="00C96A5B" w:rsidRDefault="00C96A5B" w:rsidP="00C96A5B">
      <w:r>
        <w:t>            Zaleca się, aby grubość zagęszczanej warstwy nie przekraczała przy walcach statycznych gładkich 15 cm, a przy walcach ogumionych lub wibracyjnych 20 cm.</w:t>
      </w:r>
    </w:p>
    <w:p w:rsidR="00C96A5B" w:rsidRDefault="00C96A5B" w:rsidP="00C96A5B">
      <w:pPr>
        <w:pStyle w:val="Nagwek2"/>
      </w:pPr>
      <w:r>
        <w:t>5.10. Utrzymanie wykonanej warstwy</w:t>
      </w:r>
    </w:p>
    <w:p w:rsidR="00C96A5B" w:rsidRDefault="00C96A5B" w:rsidP="00C96A5B">
      <w:pPr>
        <w:rPr>
          <w:rFonts w:eastAsiaTheme="minorEastAsia"/>
        </w:rPr>
      </w:pPr>
      <w:r>
        <w:t>            Zagęszczona warstwa, przed ułożeniem następnej warstwy, powinna być utrzymywana w dobrym stanie. Jeżeli po wykonanej warstwie będzie się odbywał ruch budowlany, to Wykonawca jest obowiązany naprawić wszelkie uszkodzenia, spowodowane przez ten ruch.</w:t>
      </w:r>
    </w:p>
    <w:p w:rsidR="00C96A5B" w:rsidRDefault="00C96A5B" w:rsidP="00C96A5B">
      <w:pPr>
        <w:pStyle w:val="Nagwek2"/>
      </w:pPr>
      <w:r>
        <w:t>5.11. Impregnacja podbudowy zasadniczej</w:t>
      </w:r>
    </w:p>
    <w:p w:rsidR="00C96A5B" w:rsidRDefault="00C96A5B" w:rsidP="00C96A5B">
      <w:pPr>
        <w:rPr>
          <w:rFonts w:eastAsiaTheme="minorEastAsia"/>
        </w:rPr>
      </w:pPr>
      <w:r>
        <w:t xml:space="preserve">            Jeśli nie przewiduje się układania warstwy ścieralnej bezpośrednio po zagęszczeniu podbudowy zasadniczej można, po zaakceptowaniu przez Inżyniera, zaimpregnować podbudowę </w:t>
      </w:r>
      <w:r>
        <w:lastRenderedPageBreak/>
        <w:t>zasadniczą asfaltem 160/220 w ilości około 1,0 kg/m</w:t>
      </w:r>
      <w:r>
        <w:rPr>
          <w:vertAlign w:val="superscript"/>
        </w:rPr>
        <w:t>2</w:t>
      </w:r>
      <w:r>
        <w:t>, albo emulsją kationową z przysypaniem piaskiem gruboziarnistym w ilości około 5 kg/m</w:t>
      </w:r>
      <w:r>
        <w:rPr>
          <w:vertAlign w:val="superscript"/>
        </w:rPr>
        <w:t>2</w:t>
      </w:r>
      <w:r>
        <w:t>.</w:t>
      </w:r>
    </w:p>
    <w:p w:rsidR="00C96A5B" w:rsidRDefault="00C96A5B" w:rsidP="00C96A5B">
      <w:pPr>
        <w:pStyle w:val="Nagwek2"/>
      </w:pPr>
      <w:r>
        <w:t>5.12. Roboty wykończeniowe</w:t>
      </w:r>
    </w:p>
    <w:p w:rsidR="00C96A5B" w:rsidRDefault="00C96A5B" w:rsidP="00C96A5B">
      <w:pPr>
        <w:ind w:firstLine="709"/>
        <w:rPr>
          <w:rFonts w:eastAsiaTheme="minorEastAsia"/>
        </w:rPr>
      </w:pPr>
      <w:r>
        <w:t>Roboty wykończeniowe, zgodne z dokumentacją projektową, ST lub wskazaniami Inżyniera dotyczą prac związanych z dostosowaniem wykonanych  robót do istniejących warunków terenowych, takie jak:</w:t>
      </w:r>
    </w:p>
    <w:p w:rsidR="00C96A5B" w:rsidRDefault="00C96A5B" w:rsidP="00C96A5B">
      <w:pPr>
        <w:ind w:left="284" w:hanging="284"/>
      </w:pPr>
      <w:r>
        <w:t>–</w:t>
      </w:r>
      <w:r>
        <w:rPr>
          <w:sz w:val="14"/>
          <w:szCs w:val="14"/>
        </w:rPr>
        <w:t xml:space="preserve">      </w:t>
      </w:r>
      <w:r>
        <w:t>odtworzenie przeszkód czasowo usuniętych,</w:t>
      </w:r>
    </w:p>
    <w:p w:rsidR="00C96A5B" w:rsidRDefault="00C96A5B" w:rsidP="00C96A5B">
      <w:pPr>
        <w:ind w:left="284" w:hanging="284"/>
      </w:pPr>
      <w:r>
        <w:t>–</w:t>
      </w:r>
      <w:r>
        <w:rPr>
          <w:sz w:val="14"/>
          <w:szCs w:val="14"/>
        </w:rPr>
        <w:t xml:space="preserve">      </w:t>
      </w:r>
      <w:r>
        <w:t>uzupełnienie zniszczonych w czasie robót istniejących elementów drogowych lub terenowych,</w:t>
      </w:r>
    </w:p>
    <w:p w:rsidR="00C96A5B" w:rsidRDefault="00C96A5B" w:rsidP="00C96A5B">
      <w:pPr>
        <w:ind w:left="283" w:hanging="283"/>
      </w:pPr>
      <w:r>
        <w:rPr>
          <w:rFonts w:ascii="Symbol" w:hAnsi="Symbol"/>
        </w:rPr>
        <w:t></w:t>
      </w:r>
      <w:r>
        <w:rPr>
          <w:sz w:val="14"/>
          <w:szCs w:val="14"/>
        </w:rPr>
        <w:t xml:space="preserve">      </w:t>
      </w:r>
      <w:r>
        <w:t>roboty porządkujące otoczenie terenu robót,</w:t>
      </w:r>
    </w:p>
    <w:p w:rsidR="00C96A5B" w:rsidRDefault="00C96A5B" w:rsidP="00C96A5B">
      <w:pPr>
        <w:ind w:left="283" w:hanging="283"/>
      </w:pPr>
      <w:r>
        <w:rPr>
          <w:rFonts w:ascii="Symbol" w:hAnsi="Symbol"/>
        </w:rPr>
        <w:t></w:t>
      </w:r>
      <w:r>
        <w:rPr>
          <w:sz w:val="14"/>
          <w:szCs w:val="14"/>
        </w:rPr>
        <w:t xml:space="preserve">      </w:t>
      </w:r>
      <w:r>
        <w:t>usunięcie oznakowania drogi wprowadzonego na okres robót.</w:t>
      </w:r>
    </w:p>
    <w:p w:rsidR="00C96A5B" w:rsidRDefault="00C96A5B" w:rsidP="00C96A5B">
      <w:pPr>
        <w:pStyle w:val="Nagwek1"/>
      </w:pPr>
      <w:r>
        <w:t>6. Kontrola jakości robót</w:t>
      </w:r>
    </w:p>
    <w:p w:rsidR="00C96A5B" w:rsidRDefault="00C96A5B" w:rsidP="00C96A5B">
      <w:pPr>
        <w:pStyle w:val="Nagwek2"/>
      </w:pPr>
      <w:bookmarkStart w:id="660" w:name="_Toc344981399"/>
      <w:r>
        <w:t>6.1. Ogólne zasady kontroli jakości robót</w:t>
      </w:r>
      <w:bookmarkEnd w:id="660"/>
    </w:p>
    <w:p w:rsidR="00C96A5B" w:rsidRDefault="00C96A5B" w:rsidP="00C96A5B">
      <w:pPr>
        <w:rPr>
          <w:rFonts w:eastAsiaTheme="minorEastAsia"/>
        </w:rPr>
      </w:pPr>
      <w:r>
        <w:t>            Ogólne zasady kontroli jakości robót podano w OST   D-M-00.00.00 „Wymagania ogólne” [1], pkt 6.</w:t>
      </w:r>
    </w:p>
    <w:p w:rsidR="00C96A5B" w:rsidRDefault="00C96A5B" w:rsidP="00C96A5B">
      <w:pPr>
        <w:pStyle w:val="Nagwek2"/>
      </w:pPr>
      <w:r>
        <w:t>6.2. Badania przed przystąpieniem do robót</w:t>
      </w:r>
    </w:p>
    <w:p w:rsidR="00C96A5B" w:rsidRDefault="00C96A5B" w:rsidP="00C96A5B">
      <w:pPr>
        <w:rPr>
          <w:rFonts w:eastAsiaTheme="minorEastAsia"/>
        </w:rPr>
      </w:pPr>
      <w:r>
        <w:t>            Przed przystąpieniem do robót Wykonawca powinien:</w:t>
      </w:r>
    </w:p>
    <w:p w:rsidR="00C96A5B" w:rsidRDefault="00C96A5B" w:rsidP="00C96A5B">
      <w:pPr>
        <w:ind w:left="283" w:hanging="283"/>
      </w:pPr>
      <w:r>
        <w:rPr>
          <w:rFonts w:ascii="Symbol" w:hAnsi="Symbol"/>
        </w:rPr>
        <w:t></w:t>
      </w:r>
      <w:r>
        <w:rPr>
          <w:sz w:val="14"/>
          <w:szCs w:val="14"/>
        </w:rPr>
        <w:t xml:space="preserve">      </w:t>
      </w: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96A5B" w:rsidRDefault="00C96A5B" w:rsidP="00C96A5B">
      <w:pPr>
        <w:ind w:left="283" w:hanging="283"/>
      </w:pPr>
      <w:r>
        <w:rPr>
          <w:rFonts w:ascii="Symbol" w:hAnsi="Symbol"/>
        </w:rPr>
        <w:t></w:t>
      </w:r>
      <w:r>
        <w:rPr>
          <w:sz w:val="14"/>
          <w:szCs w:val="14"/>
        </w:rPr>
        <w:t xml:space="preserve">      </w:t>
      </w:r>
      <w:r>
        <w:t>wykonać badania kruszyw przeznaczonych do wykonania robót, obejmujące wszystkie właściwości określone w tablicy 1 niniejszej OST.</w:t>
      </w:r>
    </w:p>
    <w:p w:rsidR="00C96A5B" w:rsidRDefault="00C96A5B" w:rsidP="00C96A5B">
      <w:r>
        <w:t>            Wszystkie dokumenty oraz wyniki badań Wykonawca przedstawia Inżynierowi do akceptacji.</w:t>
      </w:r>
    </w:p>
    <w:p w:rsidR="00C96A5B" w:rsidRDefault="00C96A5B" w:rsidP="00C96A5B">
      <w:pPr>
        <w:pStyle w:val="Nagwek2"/>
      </w:pPr>
      <w:r>
        <w:t>6.3. Badania w czasie robót</w:t>
      </w:r>
    </w:p>
    <w:p w:rsidR="00C96A5B" w:rsidRDefault="00C96A5B" w:rsidP="00C96A5B">
      <w:pPr>
        <w:rPr>
          <w:rFonts w:eastAsiaTheme="minorEastAsia"/>
        </w:rPr>
      </w:pPr>
      <w:r>
        <w:t xml:space="preserve">            Częstotliwość oraz zakres badań i pomiarów, które należy wykonać w czasie robót podaje tablica 5. </w:t>
      </w:r>
    </w:p>
    <w:p w:rsidR="00C96A5B" w:rsidRDefault="00C96A5B" w:rsidP="00C96A5B">
      <w:pPr>
        <w:spacing w:before="120" w:after="120"/>
      </w:pPr>
      <w:r>
        <w:t>Tablica 5. Częstotliwość oraz zakres badań i pomiarów w czasie robót</w:t>
      </w:r>
    </w:p>
    <w:tbl>
      <w:tblPr>
        <w:tblW w:w="8927" w:type="dxa"/>
        <w:tblCellMar>
          <w:left w:w="0" w:type="dxa"/>
          <w:right w:w="0" w:type="dxa"/>
        </w:tblCellMar>
        <w:tblLook w:val="04A0" w:firstRow="1" w:lastRow="0" w:firstColumn="1" w:lastColumn="0" w:noHBand="0" w:noVBand="1"/>
      </w:tblPr>
      <w:tblGrid>
        <w:gridCol w:w="496"/>
        <w:gridCol w:w="3534"/>
        <w:gridCol w:w="2204"/>
        <w:gridCol w:w="2693"/>
      </w:tblGrid>
      <w:tr w:rsidR="00C96A5B" w:rsidTr="00E558D1">
        <w:tc>
          <w:tcPr>
            <w:tcW w:w="49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Lp.</w:t>
            </w:r>
          </w:p>
        </w:tc>
        <w:tc>
          <w:tcPr>
            <w:tcW w:w="353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Wyszczególnienie robót</w:t>
            </w:r>
          </w:p>
        </w:tc>
        <w:tc>
          <w:tcPr>
            <w:tcW w:w="220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Częstotliwość badań</w:t>
            </w:r>
          </w:p>
        </w:tc>
        <w:tc>
          <w:tcPr>
            <w:tcW w:w="2693"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Wartości dopuszczalne</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jc w:val="center"/>
            </w:pPr>
            <w:r>
              <w:t>1</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r>
              <w:t>Lokalizacja i zgodność granic terenu robót z dokumentacją projektową</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jc w:val="center"/>
            </w:pPr>
            <w:r>
              <w:t>1 raz</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jc w:val="center"/>
            </w:pPr>
            <w:r>
              <w:t xml:space="preserve">Wg pktu 5 </w:t>
            </w:r>
          </w:p>
          <w:p w:rsidR="00C96A5B" w:rsidRDefault="00C96A5B" w:rsidP="00E558D1">
            <w:pPr>
              <w:jc w:val="center"/>
            </w:pPr>
            <w:r>
              <w:t xml:space="preserve">i dokumentacji projektowej </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2</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Roboty przygotowawcze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Ocena ciągła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Wg pktu 5.3</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3</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Właściwości kruszywa</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rPr>
                <w:sz w:val="18"/>
                <w:szCs w:val="18"/>
              </w:rPr>
              <w:t>Dla każdej partii kruszywa  i przy każdej zmianie kruszywa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Wg tablicy 1</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4</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Uziarnienie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 xml:space="preserve">2 razy na dziennej działce roboczej  </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Wg tablicy 4</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lastRenderedPageBreak/>
              <w:t>5</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Wilgotność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6</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Zawartość pyłów w mieszance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7</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Zawartość nadziarna w mieszance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8</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Wrażliwość mieszanki na mróz, wskaźnik piaskowy</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9</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Zawartość wody w mieszance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10</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Wartość CBR po zagęszczeniu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jc w:val="center"/>
            </w:pPr>
            <w:r>
              <w:t xml:space="preserve">10 próbek </w:t>
            </w:r>
          </w:p>
          <w:p w:rsidR="00C96A5B" w:rsidRDefault="00C96A5B" w:rsidP="00E558D1">
            <w:pPr>
              <w:jc w:val="center"/>
            </w:pPr>
            <w:r>
              <w:t>na 10 000 m</w:t>
            </w:r>
            <w:r>
              <w:rPr>
                <w:vertAlign w:val="superscript"/>
              </w:rPr>
              <w:t>2</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11</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Inne właściwości mieszanki</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jc w:val="center"/>
            </w:pPr>
            <w:r>
              <w:t>Wg ustalenia Inżyniera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12</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Cechy środowiskowe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jc w:val="center"/>
            </w:pPr>
            <w:r>
              <w:t>Wg ustalenia Inżyniera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Jw.</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13</w:t>
            </w:r>
          </w:p>
        </w:tc>
        <w:tc>
          <w:tcPr>
            <w:tcW w:w="35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pPr>
            <w:r>
              <w:t>Roboty wykończeniowe</w:t>
            </w:r>
          </w:p>
        </w:tc>
        <w:tc>
          <w:tcPr>
            <w:tcW w:w="22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jc w:val="center"/>
            </w:pPr>
            <w:r>
              <w:t>Ocena ciągła</w:t>
            </w:r>
          </w:p>
        </w:tc>
        <w:tc>
          <w:tcPr>
            <w:tcW w:w="2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96A5B" w:rsidRDefault="00C96A5B" w:rsidP="00E558D1">
            <w:pPr>
              <w:spacing w:before="60" w:after="60"/>
              <w:jc w:val="center"/>
            </w:pPr>
            <w:r>
              <w:t>Wg pktu 5.12</w:t>
            </w:r>
          </w:p>
        </w:tc>
      </w:tr>
    </w:tbl>
    <w:p w:rsidR="00C96A5B" w:rsidRDefault="00C96A5B" w:rsidP="00C96A5B">
      <w:pPr>
        <w:pStyle w:val="Nagwek2"/>
        <w:spacing w:before="240"/>
      </w:pPr>
      <w:r>
        <w:t>6.4. Wymagania dotyczące cech geometrycznych podbudowy zasadniczej</w:t>
      </w:r>
    </w:p>
    <w:p w:rsidR="00C96A5B" w:rsidRDefault="00C96A5B" w:rsidP="00C96A5B">
      <w:pPr>
        <w:ind w:firstLine="709"/>
        <w:rPr>
          <w:rFonts w:eastAsiaTheme="minorEastAsia"/>
        </w:rPr>
      </w:pPr>
      <w:r>
        <w:t>Częstotliwość oraz zakres badań i pomiarów dotyczących cech geometrycznych warstwy z mieszanki niezwiązanej podaje tablica 6.</w:t>
      </w:r>
    </w:p>
    <w:p w:rsidR="00C96A5B" w:rsidRDefault="00C96A5B" w:rsidP="00C96A5B">
      <w:pPr>
        <w:keepNext/>
        <w:spacing w:before="60" w:after="120"/>
      </w:pPr>
      <w:r>
        <w:t>Tablica 6. Częstotliwość oraz zakres badań i pomiarów dotyczących cech geometrycznych</w:t>
      </w:r>
    </w:p>
    <w:tbl>
      <w:tblPr>
        <w:tblW w:w="8950" w:type="dxa"/>
        <w:tblCellMar>
          <w:left w:w="0" w:type="dxa"/>
          <w:right w:w="0" w:type="dxa"/>
        </w:tblCellMar>
        <w:tblLook w:val="04A0" w:firstRow="1" w:lastRow="0" w:firstColumn="1" w:lastColumn="0" w:noHBand="0" w:noVBand="1"/>
      </w:tblPr>
      <w:tblGrid>
        <w:gridCol w:w="496"/>
        <w:gridCol w:w="3414"/>
        <w:gridCol w:w="2280"/>
        <w:gridCol w:w="2760"/>
      </w:tblGrid>
      <w:tr w:rsidR="00C96A5B" w:rsidTr="00E558D1">
        <w:tc>
          <w:tcPr>
            <w:tcW w:w="49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 </w:t>
            </w:r>
          </w:p>
          <w:p w:rsidR="00C96A5B" w:rsidRDefault="00C96A5B" w:rsidP="00E558D1">
            <w:pPr>
              <w:jc w:val="center"/>
            </w:pPr>
            <w:r>
              <w:t>Lp.</w:t>
            </w:r>
          </w:p>
        </w:tc>
        <w:tc>
          <w:tcPr>
            <w:tcW w:w="341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120"/>
              <w:ind w:left="215" w:right="312"/>
              <w:jc w:val="center"/>
            </w:pPr>
            <w:r>
              <w:t>Wyszczególnienie badań i pomiarów</w:t>
            </w:r>
          </w:p>
        </w:tc>
        <w:tc>
          <w:tcPr>
            <w:tcW w:w="228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Minimalna częstotliwość badań i pomiarów</w:t>
            </w:r>
          </w:p>
        </w:tc>
        <w:tc>
          <w:tcPr>
            <w:tcW w:w="276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 </w:t>
            </w:r>
          </w:p>
          <w:p w:rsidR="00C96A5B" w:rsidRDefault="00C96A5B" w:rsidP="00E558D1">
            <w:pPr>
              <w:jc w:val="center"/>
            </w:pPr>
            <w:r>
              <w:t>Dopuszczalne odchyłki</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120"/>
              <w:jc w:val="center"/>
            </w:pPr>
            <w:r>
              <w:t>1</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120"/>
            </w:pPr>
            <w:r>
              <w:t>Szerokość warstwy</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120"/>
              <w:jc w:val="center"/>
            </w:pPr>
            <w:r>
              <w:t>10 razy na 1 km</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+10 cm, -5 cm (różnice od szerokości projektowej)</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2</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pPr>
            <w:r>
              <w:t>Równość podłużna</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Wg [21]</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Wg [21]</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3</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pPr>
            <w:r>
              <w:t>Równość poprzeczna</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Wg [21]</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Wg [21]</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 </w:t>
            </w:r>
          </w:p>
          <w:p w:rsidR="00C96A5B" w:rsidRDefault="00C96A5B" w:rsidP="00E558D1">
            <w:pPr>
              <w:jc w:val="center"/>
            </w:pPr>
            <w:r>
              <w:t>4</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r>
              <w:t> </w:t>
            </w:r>
          </w:p>
          <w:p w:rsidR="00C96A5B" w:rsidRDefault="00C96A5B" w:rsidP="00E558D1">
            <w:r>
              <w:t xml:space="preserve">Spadki poprzeczne </w:t>
            </w:r>
            <w:r>
              <w:rPr>
                <w:vertAlign w:val="superscript"/>
              </w:rPr>
              <w:t>*)</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 </w:t>
            </w:r>
          </w:p>
          <w:p w:rsidR="00C96A5B" w:rsidRDefault="00C96A5B" w:rsidP="00E558D1">
            <w:pPr>
              <w:jc w:val="center"/>
            </w:pPr>
            <w:r>
              <w:t>10 razy na 1 km</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 0,5% (dopuszczalna tolerancja od spadków projektowych)</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5</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pPr>
            <w:r>
              <w:t>Rzędne wysokościowe</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Wg [21]</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60" w:after="60"/>
              <w:jc w:val="center"/>
            </w:pPr>
            <w:r>
              <w:t>Wg [21]</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120"/>
              <w:jc w:val="center"/>
            </w:pPr>
            <w:r>
              <w:t>6</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120"/>
            </w:pPr>
            <w:r>
              <w:t xml:space="preserve">Ukształtowanie osi w planie </w:t>
            </w:r>
            <w:r>
              <w:rPr>
                <w:vertAlign w:val="superscript"/>
              </w:rPr>
              <w:t>*)</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spacing w:before="120"/>
              <w:jc w:val="center"/>
            </w:pPr>
            <w:r>
              <w:t>Co 100 m</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Przesunięcie od osi projektowanej ± 5 cm</w:t>
            </w:r>
          </w:p>
        </w:tc>
      </w:tr>
      <w:tr w:rsidR="00C96A5B" w:rsidTr="00E558D1">
        <w:tc>
          <w:tcPr>
            <w:tcW w:w="49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 </w:t>
            </w:r>
          </w:p>
          <w:p w:rsidR="00C96A5B" w:rsidRDefault="00C96A5B" w:rsidP="00E558D1">
            <w:pPr>
              <w:jc w:val="center"/>
            </w:pPr>
            <w:r>
              <w:t>7</w:t>
            </w:r>
          </w:p>
        </w:tc>
        <w:tc>
          <w:tcPr>
            <w:tcW w:w="3414"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r>
              <w:t> </w:t>
            </w:r>
          </w:p>
          <w:p w:rsidR="00C96A5B" w:rsidRDefault="00C96A5B" w:rsidP="00E558D1">
            <w:r>
              <w:t>Grubość warstwy</w:t>
            </w:r>
          </w:p>
        </w:tc>
        <w:tc>
          <w:tcPr>
            <w:tcW w:w="228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w 3 punktach na działce roboczej, lecz nie rzadziej niż raz na 2000 m</w:t>
            </w:r>
            <w:r>
              <w:rPr>
                <w:vertAlign w:val="superscript"/>
              </w:rPr>
              <w:t>2</w:t>
            </w:r>
          </w:p>
        </w:tc>
        <w:tc>
          <w:tcPr>
            <w:tcW w:w="2760" w:type="dxa"/>
            <w:tcBorders>
              <w:top w:val="nil"/>
              <w:left w:val="nil"/>
              <w:bottom w:val="single" w:sz="8" w:space="0" w:color="auto"/>
              <w:right w:val="single" w:sz="8" w:space="0" w:color="auto"/>
            </w:tcBorders>
            <w:noWrap/>
            <w:tcMar>
              <w:top w:w="0" w:type="dxa"/>
              <w:left w:w="70" w:type="dxa"/>
              <w:bottom w:w="0" w:type="dxa"/>
              <w:right w:w="70" w:type="dxa"/>
            </w:tcMar>
            <w:hideMark/>
          </w:tcPr>
          <w:p w:rsidR="00C96A5B" w:rsidRDefault="00C96A5B" w:rsidP="00E558D1">
            <w:pPr>
              <w:jc w:val="center"/>
            </w:pPr>
            <w:r>
              <w:t>Różnice od grubości projektowanej ±10%</w:t>
            </w:r>
          </w:p>
        </w:tc>
      </w:tr>
    </w:tbl>
    <w:p w:rsidR="00C96A5B" w:rsidRDefault="00C96A5B" w:rsidP="00C96A5B">
      <w:pPr>
        <w:spacing w:before="120"/>
        <w:rPr>
          <w:rFonts w:eastAsiaTheme="minorEastAsia"/>
        </w:rPr>
      </w:pPr>
      <w:r>
        <w:t>*) Dodatkowe pomiary spadków poprzecznych i ukształtowania osi w planie należy wykonać w punktach głównych łuków poziomych.</w:t>
      </w:r>
    </w:p>
    <w:p w:rsidR="00C96A5B" w:rsidRDefault="00C96A5B" w:rsidP="00C96A5B">
      <w:pPr>
        <w:pStyle w:val="Nagwek1"/>
      </w:pPr>
      <w:r>
        <w:lastRenderedPageBreak/>
        <w:t>7. Obmiar robót</w:t>
      </w:r>
    </w:p>
    <w:p w:rsidR="00C96A5B" w:rsidRDefault="00C96A5B" w:rsidP="00C96A5B">
      <w:pPr>
        <w:pStyle w:val="Nagwek2"/>
      </w:pPr>
      <w:bookmarkStart w:id="661" w:name="_Toc344981400"/>
      <w:r>
        <w:t>7.1. Ogólne zasady obmiaru robót</w:t>
      </w:r>
      <w:bookmarkEnd w:id="661"/>
    </w:p>
    <w:p w:rsidR="00C96A5B" w:rsidRDefault="00C96A5B" w:rsidP="00C96A5B">
      <w:pPr>
        <w:rPr>
          <w:rFonts w:eastAsiaTheme="minorEastAsia"/>
        </w:rPr>
      </w:pPr>
      <w:r>
        <w:t>            Ogólne zasady obmiaru robót podano w OST  D-M-00.00.00 „Wymagania ogólne” [1], pkt 7.</w:t>
      </w:r>
    </w:p>
    <w:p w:rsidR="00C96A5B" w:rsidRDefault="00C96A5B" w:rsidP="00C96A5B">
      <w:pPr>
        <w:pStyle w:val="Nagwek2"/>
      </w:pPr>
      <w:r>
        <w:t>7.2. Jednostka obmiarowa</w:t>
      </w:r>
    </w:p>
    <w:p w:rsidR="00C96A5B" w:rsidRDefault="00C96A5B" w:rsidP="00C96A5B">
      <w:pPr>
        <w:rPr>
          <w:rFonts w:eastAsiaTheme="minorEastAsia"/>
        </w:rPr>
      </w:pPr>
      <w:r>
        <w:t>            Jednostką obmiarową jest m</w:t>
      </w:r>
      <w:r>
        <w:rPr>
          <w:vertAlign w:val="superscript"/>
        </w:rPr>
        <w:t>2</w:t>
      </w:r>
      <w:r>
        <w:t xml:space="preserve"> (metr kwadratowy) wykonanej warstwy.</w:t>
      </w:r>
    </w:p>
    <w:p w:rsidR="00C96A5B" w:rsidRDefault="00C96A5B" w:rsidP="00C96A5B">
      <w:pPr>
        <w:pStyle w:val="Nagwek1"/>
      </w:pPr>
      <w:r>
        <w:t>8. Odbiór robót</w:t>
      </w:r>
    </w:p>
    <w:p w:rsidR="00C96A5B" w:rsidRDefault="00C96A5B" w:rsidP="00C96A5B">
      <w:pPr>
        <w:ind w:firstLine="709"/>
        <w:rPr>
          <w:rFonts w:eastAsiaTheme="minorEastAsia"/>
        </w:rPr>
      </w:pPr>
      <w:bookmarkStart w:id="662" w:name="_Toc344981401"/>
      <w:r>
        <w:t xml:space="preserve">Ogólne zasady odbioru robót podano w OST  D-M-00.00.00 „Wymagania ogólne” [1], pkt 8. </w:t>
      </w:r>
      <w:bookmarkEnd w:id="662"/>
    </w:p>
    <w:p w:rsidR="00C96A5B" w:rsidRDefault="00C96A5B" w:rsidP="00C96A5B">
      <w:r>
        <w:t>            Roboty uznaje się za wykonane zgodnie z dokumentacją projektową, ST i wymaganiami Inżyniera, jeżeli wszystkie pomiary i badania z zachowaniem tolerancji według punktu 6 dały wyniki pozytywne.</w:t>
      </w:r>
    </w:p>
    <w:p w:rsidR="00C96A5B" w:rsidRDefault="00C96A5B" w:rsidP="00C96A5B">
      <w:pPr>
        <w:pStyle w:val="Nagwek1"/>
      </w:pPr>
      <w:r>
        <w:t>9. Podstawa płatności</w:t>
      </w:r>
    </w:p>
    <w:p w:rsidR="00C96A5B" w:rsidRDefault="00C96A5B" w:rsidP="00C96A5B">
      <w:pPr>
        <w:pStyle w:val="Nagwek2"/>
      </w:pPr>
      <w:bookmarkStart w:id="663" w:name="_Toc344981402"/>
      <w:r>
        <w:t>9.1. Ogólne ustalenia dotyczące podstawy płatności</w:t>
      </w:r>
      <w:bookmarkEnd w:id="663"/>
    </w:p>
    <w:p w:rsidR="00C96A5B" w:rsidRDefault="00C96A5B" w:rsidP="00C96A5B">
      <w:pPr>
        <w:rPr>
          <w:rFonts w:eastAsiaTheme="minorEastAsia"/>
        </w:rPr>
      </w:pPr>
      <w:r>
        <w:t>            Ogólne ustalenia dotyczące podstawy płatności podano w OST D-M-00.00.00 „Wymagania ogólne” [1], pkt 9.</w:t>
      </w:r>
    </w:p>
    <w:p w:rsidR="00C96A5B" w:rsidRDefault="00C96A5B" w:rsidP="00C96A5B">
      <w:pPr>
        <w:pStyle w:val="Nagwek2"/>
      </w:pPr>
      <w:r>
        <w:t>9.2. Cena jednostki obmiarowej</w:t>
      </w:r>
    </w:p>
    <w:p w:rsidR="00C96A5B" w:rsidRDefault="00C96A5B" w:rsidP="00C96A5B">
      <w:pPr>
        <w:rPr>
          <w:rFonts w:eastAsiaTheme="minorEastAsia"/>
        </w:rPr>
      </w:pPr>
      <w:r>
        <w:t>            Cena wykonania  jednostki obmiarowej (1 m</w:t>
      </w:r>
      <w:r>
        <w:rPr>
          <w:vertAlign w:val="superscript"/>
        </w:rPr>
        <w:t>2</w:t>
      </w:r>
      <w:r>
        <w:t>) obejmuje:</w:t>
      </w:r>
    </w:p>
    <w:p w:rsidR="00C96A5B" w:rsidRDefault="00C96A5B" w:rsidP="00C96A5B">
      <w:pPr>
        <w:ind w:left="283" w:hanging="283"/>
      </w:pPr>
      <w:r>
        <w:rPr>
          <w:rFonts w:ascii="Symbol" w:hAnsi="Symbol"/>
        </w:rPr>
        <w:t></w:t>
      </w:r>
      <w:r>
        <w:rPr>
          <w:sz w:val="14"/>
          <w:szCs w:val="14"/>
        </w:rPr>
        <w:t xml:space="preserve">      </w:t>
      </w:r>
      <w:r>
        <w:t>prace pomiarowe i roboty przygotowawcze,</w:t>
      </w:r>
    </w:p>
    <w:p w:rsidR="00C96A5B" w:rsidRDefault="00C96A5B" w:rsidP="00C96A5B">
      <w:pPr>
        <w:ind w:left="283" w:hanging="283"/>
      </w:pPr>
      <w:r>
        <w:rPr>
          <w:rFonts w:ascii="Symbol" w:hAnsi="Symbol"/>
        </w:rPr>
        <w:t></w:t>
      </w:r>
      <w:r>
        <w:rPr>
          <w:sz w:val="14"/>
          <w:szCs w:val="14"/>
        </w:rPr>
        <w:t xml:space="preserve">      </w:t>
      </w:r>
      <w:r>
        <w:t>oznakowanie robót,</w:t>
      </w:r>
    </w:p>
    <w:p w:rsidR="00C96A5B" w:rsidRDefault="00C96A5B" w:rsidP="00C96A5B">
      <w:pPr>
        <w:ind w:left="283" w:hanging="283"/>
      </w:pPr>
      <w:r>
        <w:rPr>
          <w:rFonts w:ascii="Symbol" w:hAnsi="Symbol"/>
        </w:rPr>
        <w:t></w:t>
      </w:r>
      <w:r>
        <w:rPr>
          <w:sz w:val="14"/>
          <w:szCs w:val="14"/>
        </w:rPr>
        <w:t xml:space="preserve">      </w:t>
      </w:r>
      <w:r>
        <w:t>dostarczenie materiałów i sprzętu,</w:t>
      </w:r>
    </w:p>
    <w:p w:rsidR="00C96A5B" w:rsidRDefault="00C96A5B" w:rsidP="00C96A5B">
      <w:pPr>
        <w:ind w:left="283" w:hanging="283"/>
      </w:pPr>
      <w:r>
        <w:rPr>
          <w:rFonts w:ascii="Symbol" w:hAnsi="Symbol"/>
        </w:rPr>
        <w:t></w:t>
      </w:r>
      <w:r>
        <w:rPr>
          <w:sz w:val="14"/>
          <w:szCs w:val="14"/>
        </w:rPr>
        <w:t xml:space="preserve">      </w:t>
      </w:r>
      <w:r>
        <w:t>przygotowanie mieszanki z kruszywa, zgodnie z receptą,</w:t>
      </w:r>
    </w:p>
    <w:p w:rsidR="00C96A5B" w:rsidRDefault="00C96A5B" w:rsidP="00C96A5B">
      <w:pPr>
        <w:ind w:left="283" w:hanging="283"/>
      </w:pPr>
      <w:r>
        <w:rPr>
          <w:rFonts w:ascii="Symbol" w:hAnsi="Symbol"/>
        </w:rPr>
        <w:t></w:t>
      </w:r>
      <w:r>
        <w:rPr>
          <w:sz w:val="14"/>
          <w:szCs w:val="14"/>
        </w:rPr>
        <w:t xml:space="preserve">      </w:t>
      </w:r>
      <w:r>
        <w:t>dostarczenie mieszanki na miejsce wbudowania,</w:t>
      </w:r>
    </w:p>
    <w:p w:rsidR="00C96A5B" w:rsidRDefault="00C96A5B" w:rsidP="00C96A5B">
      <w:pPr>
        <w:ind w:left="283" w:hanging="283"/>
      </w:pPr>
      <w:r>
        <w:rPr>
          <w:rFonts w:ascii="Symbol" w:hAnsi="Symbol"/>
        </w:rPr>
        <w:t></w:t>
      </w:r>
      <w:r>
        <w:rPr>
          <w:sz w:val="14"/>
          <w:szCs w:val="14"/>
        </w:rPr>
        <w:t xml:space="preserve">      </w:t>
      </w:r>
      <w:r>
        <w:t>rozłożenie mieszanki,</w:t>
      </w:r>
    </w:p>
    <w:p w:rsidR="00C96A5B" w:rsidRDefault="00C96A5B" w:rsidP="00C96A5B">
      <w:pPr>
        <w:ind w:left="283" w:hanging="283"/>
      </w:pPr>
      <w:r>
        <w:rPr>
          <w:rFonts w:ascii="Symbol" w:hAnsi="Symbol"/>
        </w:rPr>
        <w:t></w:t>
      </w:r>
      <w:r>
        <w:rPr>
          <w:sz w:val="14"/>
          <w:szCs w:val="14"/>
        </w:rPr>
        <w:t xml:space="preserve">      </w:t>
      </w:r>
      <w:r>
        <w:t>zagęszczenie mieszanki,</w:t>
      </w:r>
    </w:p>
    <w:p w:rsidR="00C96A5B" w:rsidRDefault="00C96A5B" w:rsidP="00C96A5B">
      <w:pPr>
        <w:ind w:left="283" w:hanging="283"/>
      </w:pPr>
      <w:r>
        <w:rPr>
          <w:rFonts w:ascii="Symbol" w:hAnsi="Symbol"/>
        </w:rPr>
        <w:t></w:t>
      </w:r>
      <w:r>
        <w:rPr>
          <w:sz w:val="14"/>
          <w:szCs w:val="14"/>
        </w:rPr>
        <w:t xml:space="preserve">      </w:t>
      </w:r>
      <w:r>
        <w:t>utrzymanie warstwy w czasie robót, ew. impregnacja warstwy,</w:t>
      </w:r>
    </w:p>
    <w:p w:rsidR="00C96A5B" w:rsidRDefault="00C96A5B" w:rsidP="00C96A5B">
      <w:pPr>
        <w:ind w:left="283" w:hanging="283"/>
      </w:pPr>
      <w:r>
        <w:rPr>
          <w:rFonts w:ascii="Symbol" w:hAnsi="Symbol"/>
        </w:rPr>
        <w:t></w:t>
      </w:r>
      <w:r>
        <w:rPr>
          <w:sz w:val="14"/>
          <w:szCs w:val="14"/>
        </w:rPr>
        <w:t xml:space="preserve">      </w:t>
      </w:r>
      <w:r>
        <w:t>przeprowadzenie wymaganych  pomiarów i badań,</w:t>
      </w:r>
    </w:p>
    <w:p w:rsidR="00C96A5B" w:rsidRDefault="00C96A5B" w:rsidP="00C96A5B">
      <w:pPr>
        <w:ind w:left="283" w:hanging="283"/>
      </w:pPr>
      <w:r>
        <w:rPr>
          <w:rFonts w:ascii="Symbol" w:hAnsi="Symbol"/>
        </w:rPr>
        <w:t></w:t>
      </w:r>
      <w:r>
        <w:rPr>
          <w:sz w:val="14"/>
          <w:szCs w:val="14"/>
        </w:rPr>
        <w:t xml:space="preserve">      </w:t>
      </w:r>
      <w:r>
        <w:t>uporządkowanie terenu robót i jego otoczenia,</w:t>
      </w:r>
    </w:p>
    <w:p w:rsidR="00C96A5B" w:rsidRDefault="00C96A5B" w:rsidP="00C96A5B">
      <w:pPr>
        <w:ind w:left="283" w:hanging="283"/>
      </w:pPr>
      <w:r>
        <w:rPr>
          <w:rFonts w:ascii="Symbol" w:hAnsi="Symbol"/>
        </w:rPr>
        <w:t></w:t>
      </w:r>
      <w:r>
        <w:rPr>
          <w:sz w:val="14"/>
          <w:szCs w:val="14"/>
        </w:rPr>
        <w:t xml:space="preserve">      </w:t>
      </w:r>
      <w:r>
        <w:t>roboty wykończeniowe,</w:t>
      </w:r>
    </w:p>
    <w:p w:rsidR="00C96A5B" w:rsidRDefault="00C96A5B" w:rsidP="00C96A5B">
      <w:pPr>
        <w:ind w:left="283" w:hanging="283"/>
      </w:pPr>
      <w:r>
        <w:rPr>
          <w:rFonts w:ascii="Symbol" w:hAnsi="Symbol"/>
        </w:rPr>
        <w:t></w:t>
      </w:r>
      <w:r>
        <w:rPr>
          <w:sz w:val="14"/>
          <w:szCs w:val="14"/>
        </w:rPr>
        <w:t xml:space="preserve">      </w:t>
      </w:r>
      <w:r>
        <w:t>odwiezienie sprzętu.</w:t>
      </w:r>
    </w:p>
    <w:p w:rsidR="00C96A5B" w:rsidRDefault="00C96A5B" w:rsidP="00C96A5B">
      <w:pPr>
        <w:ind w:firstLine="709"/>
      </w:pPr>
      <w:r>
        <w:t>Wszystkie roboty powinny być wykonane według wymagań dokumentacji projektowej, ST, specyfikacji technicznej i postanowień Inżyniera.</w:t>
      </w:r>
    </w:p>
    <w:p w:rsidR="00C96A5B" w:rsidRDefault="00C96A5B" w:rsidP="00C96A5B">
      <w:pPr>
        <w:pStyle w:val="Nagwek2"/>
      </w:pPr>
      <w:r>
        <w:t>9.3. Sposób rozliczenia robót tymczasowych i prac towarzyszących</w:t>
      </w:r>
    </w:p>
    <w:p w:rsidR="00C96A5B" w:rsidRDefault="00C96A5B" w:rsidP="00C96A5B">
      <w:pPr>
        <w:rPr>
          <w:rFonts w:eastAsiaTheme="minorEastAsia"/>
        </w:rPr>
      </w:pPr>
      <w:r>
        <w:t>            Cena wykonania robót określonych niniejszą OST obejmuje:</w:t>
      </w:r>
    </w:p>
    <w:p w:rsidR="00C96A5B" w:rsidRDefault="00C96A5B" w:rsidP="00C96A5B">
      <w:pPr>
        <w:ind w:left="283" w:hanging="283"/>
      </w:pPr>
      <w:r>
        <w:rPr>
          <w:rFonts w:ascii="Symbol" w:hAnsi="Symbol"/>
        </w:rPr>
        <w:t></w:t>
      </w:r>
      <w:r>
        <w:rPr>
          <w:sz w:val="14"/>
          <w:szCs w:val="14"/>
        </w:rPr>
        <w:t xml:space="preserve">      </w:t>
      </w:r>
      <w:r>
        <w:t>roboty tymczasowe, które są potrzebne do wykonania robót podstawowych, ale nie są przekazywane Zamawiającemu i są usuwane po wykonaniu robót podstawowych,</w:t>
      </w:r>
    </w:p>
    <w:p w:rsidR="00C96A5B" w:rsidRDefault="00C96A5B" w:rsidP="00C96A5B">
      <w:pPr>
        <w:ind w:left="283" w:hanging="283"/>
      </w:pPr>
      <w:r>
        <w:rPr>
          <w:rFonts w:ascii="Symbol" w:hAnsi="Symbol"/>
        </w:rPr>
        <w:lastRenderedPageBreak/>
        <w:t></w:t>
      </w:r>
      <w:r>
        <w:rPr>
          <w:sz w:val="14"/>
          <w:szCs w:val="14"/>
        </w:rPr>
        <w:t xml:space="preserve">      </w:t>
      </w:r>
      <w:r>
        <w:t>prace towarzyszące, które są niezbędne do wykonania robót podstawowych, niezaliczane do robót tymczasowych, jak geodezyjne wytyczenie robót itd.</w:t>
      </w:r>
    </w:p>
    <w:p w:rsidR="00C96A5B" w:rsidRDefault="00C96A5B" w:rsidP="00C96A5B">
      <w:pPr>
        <w:pStyle w:val="Nagwek1"/>
      </w:pPr>
      <w:r>
        <w:t>10. Przepisy związane</w:t>
      </w:r>
    </w:p>
    <w:p w:rsidR="00C96A5B" w:rsidRDefault="00C96A5B" w:rsidP="00C96A5B">
      <w:pPr>
        <w:pStyle w:val="Nagwek2"/>
      </w:pPr>
      <w:r>
        <w:t>10.1. Ogólne specyfikacje techniczne (OST)</w:t>
      </w:r>
    </w:p>
    <w:tbl>
      <w:tblPr>
        <w:tblW w:w="9202" w:type="dxa"/>
        <w:tblCellMar>
          <w:left w:w="0" w:type="dxa"/>
          <w:right w:w="0" w:type="dxa"/>
        </w:tblCellMar>
        <w:tblLook w:val="04A0" w:firstRow="1" w:lastRow="0" w:firstColumn="1" w:lastColumn="0" w:noHBand="0" w:noVBand="1"/>
      </w:tblPr>
      <w:tblGrid>
        <w:gridCol w:w="637"/>
        <w:gridCol w:w="2073"/>
        <w:gridCol w:w="6492"/>
      </w:tblGrid>
      <w:tr w:rsidR="00C96A5B" w:rsidTr="00E558D1">
        <w:tc>
          <w:tcPr>
            <w:tcW w:w="637" w:type="dxa"/>
            <w:tcMar>
              <w:top w:w="0" w:type="dxa"/>
              <w:left w:w="70" w:type="dxa"/>
              <w:bottom w:w="0" w:type="dxa"/>
              <w:right w:w="70" w:type="dxa"/>
            </w:tcMar>
            <w:hideMark/>
          </w:tcPr>
          <w:p w:rsidR="00C96A5B" w:rsidRDefault="00C96A5B" w:rsidP="00E558D1">
            <w:pPr>
              <w:jc w:val="center"/>
              <w:rPr>
                <w:rFonts w:eastAsiaTheme="minorEastAsia"/>
              </w:rPr>
            </w:pPr>
            <w:r>
              <w:t>1.</w:t>
            </w:r>
          </w:p>
        </w:tc>
        <w:tc>
          <w:tcPr>
            <w:tcW w:w="2073" w:type="dxa"/>
            <w:tcMar>
              <w:top w:w="0" w:type="dxa"/>
              <w:left w:w="70" w:type="dxa"/>
              <w:bottom w:w="0" w:type="dxa"/>
              <w:right w:w="70" w:type="dxa"/>
            </w:tcMar>
            <w:hideMark/>
          </w:tcPr>
          <w:p w:rsidR="00C96A5B" w:rsidRDefault="00C96A5B" w:rsidP="00E558D1">
            <w:r>
              <w:t> D-M-00.00.00</w:t>
            </w:r>
          </w:p>
        </w:tc>
        <w:tc>
          <w:tcPr>
            <w:tcW w:w="6492" w:type="dxa"/>
            <w:tcMar>
              <w:top w:w="0" w:type="dxa"/>
              <w:left w:w="70" w:type="dxa"/>
              <w:bottom w:w="0" w:type="dxa"/>
              <w:right w:w="70" w:type="dxa"/>
            </w:tcMar>
            <w:hideMark/>
          </w:tcPr>
          <w:p w:rsidR="00C96A5B" w:rsidRDefault="00C96A5B" w:rsidP="00E558D1">
            <w:r>
              <w:t>Wymagania ogólne</w:t>
            </w:r>
          </w:p>
        </w:tc>
      </w:tr>
      <w:tr w:rsidR="00C96A5B" w:rsidTr="00E558D1">
        <w:tc>
          <w:tcPr>
            <w:tcW w:w="637" w:type="dxa"/>
            <w:tcMar>
              <w:top w:w="0" w:type="dxa"/>
              <w:left w:w="70" w:type="dxa"/>
              <w:bottom w:w="0" w:type="dxa"/>
              <w:right w:w="70" w:type="dxa"/>
            </w:tcMar>
            <w:hideMark/>
          </w:tcPr>
          <w:p w:rsidR="00C96A5B" w:rsidRDefault="00C96A5B" w:rsidP="00E558D1">
            <w:pPr>
              <w:jc w:val="center"/>
            </w:pPr>
            <w:r>
              <w:t>2.</w:t>
            </w:r>
          </w:p>
        </w:tc>
        <w:tc>
          <w:tcPr>
            <w:tcW w:w="2073" w:type="dxa"/>
            <w:tcMar>
              <w:top w:w="0" w:type="dxa"/>
              <w:left w:w="70" w:type="dxa"/>
              <w:bottom w:w="0" w:type="dxa"/>
              <w:right w:w="70" w:type="dxa"/>
            </w:tcMar>
            <w:hideMark/>
          </w:tcPr>
          <w:p w:rsidR="00C96A5B" w:rsidRDefault="00C96A5B" w:rsidP="00E558D1">
            <w:r>
              <w:t> D-01.00.00</w:t>
            </w:r>
          </w:p>
        </w:tc>
        <w:tc>
          <w:tcPr>
            <w:tcW w:w="6492" w:type="dxa"/>
            <w:tcMar>
              <w:top w:w="0" w:type="dxa"/>
              <w:left w:w="70" w:type="dxa"/>
              <w:bottom w:w="0" w:type="dxa"/>
              <w:right w:w="70" w:type="dxa"/>
            </w:tcMar>
            <w:hideMark/>
          </w:tcPr>
          <w:p w:rsidR="00C96A5B" w:rsidRDefault="00C96A5B" w:rsidP="00E558D1">
            <w:r>
              <w:t>Roboty przygotowawcze</w:t>
            </w:r>
          </w:p>
        </w:tc>
      </w:tr>
      <w:tr w:rsidR="00C96A5B" w:rsidTr="00E558D1">
        <w:tc>
          <w:tcPr>
            <w:tcW w:w="637" w:type="dxa"/>
            <w:tcMar>
              <w:top w:w="0" w:type="dxa"/>
              <w:left w:w="70" w:type="dxa"/>
              <w:bottom w:w="0" w:type="dxa"/>
              <w:right w:w="70" w:type="dxa"/>
            </w:tcMar>
            <w:hideMark/>
          </w:tcPr>
          <w:p w:rsidR="00C96A5B" w:rsidRDefault="00C96A5B" w:rsidP="00E558D1">
            <w:pPr>
              <w:jc w:val="center"/>
            </w:pPr>
            <w:r>
              <w:t>3.</w:t>
            </w:r>
          </w:p>
        </w:tc>
        <w:tc>
          <w:tcPr>
            <w:tcW w:w="2073" w:type="dxa"/>
            <w:tcMar>
              <w:top w:w="0" w:type="dxa"/>
              <w:left w:w="70" w:type="dxa"/>
              <w:bottom w:w="0" w:type="dxa"/>
              <w:right w:w="70" w:type="dxa"/>
            </w:tcMar>
            <w:hideMark/>
          </w:tcPr>
          <w:p w:rsidR="00C96A5B" w:rsidRDefault="00C96A5B" w:rsidP="00E558D1">
            <w:r>
              <w:t> D-02.00.00</w:t>
            </w:r>
          </w:p>
        </w:tc>
        <w:tc>
          <w:tcPr>
            <w:tcW w:w="6492" w:type="dxa"/>
            <w:tcMar>
              <w:top w:w="0" w:type="dxa"/>
              <w:left w:w="70" w:type="dxa"/>
              <w:bottom w:w="0" w:type="dxa"/>
              <w:right w:w="70" w:type="dxa"/>
            </w:tcMar>
            <w:hideMark/>
          </w:tcPr>
          <w:p w:rsidR="00C96A5B" w:rsidRDefault="00C96A5B" w:rsidP="00E558D1">
            <w:r>
              <w:t>Roboty ziemne</w:t>
            </w:r>
          </w:p>
        </w:tc>
      </w:tr>
      <w:tr w:rsidR="00C96A5B" w:rsidTr="00E558D1">
        <w:tc>
          <w:tcPr>
            <w:tcW w:w="637" w:type="dxa"/>
            <w:tcMar>
              <w:top w:w="0" w:type="dxa"/>
              <w:left w:w="70" w:type="dxa"/>
              <w:bottom w:w="0" w:type="dxa"/>
              <w:right w:w="70" w:type="dxa"/>
            </w:tcMar>
            <w:hideMark/>
          </w:tcPr>
          <w:p w:rsidR="00C96A5B" w:rsidRDefault="00C96A5B" w:rsidP="00E558D1">
            <w:pPr>
              <w:jc w:val="center"/>
            </w:pPr>
            <w:r>
              <w:t>4.</w:t>
            </w:r>
          </w:p>
        </w:tc>
        <w:tc>
          <w:tcPr>
            <w:tcW w:w="2073" w:type="dxa"/>
            <w:tcMar>
              <w:top w:w="0" w:type="dxa"/>
              <w:left w:w="70" w:type="dxa"/>
              <w:bottom w:w="0" w:type="dxa"/>
              <w:right w:w="70" w:type="dxa"/>
            </w:tcMar>
            <w:hideMark/>
          </w:tcPr>
          <w:p w:rsidR="00C96A5B" w:rsidRDefault="00C96A5B" w:rsidP="00E558D1">
            <w:r>
              <w:t>D-04.04.02a</w:t>
            </w:r>
          </w:p>
        </w:tc>
        <w:tc>
          <w:tcPr>
            <w:tcW w:w="6492" w:type="dxa"/>
            <w:tcMar>
              <w:top w:w="0" w:type="dxa"/>
              <w:left w:w="70" w:type="dxa"/>
              <w:bottom w:w="0" w:type="dxa"/>
              <w:right w:w="70" w:type="dxa"/>
            </w:tcMar>
            <w:hideMark/>
          </w:tcPr>
          <w:p w:rsidR="00C96A5B" w:rsidRDefault="00C96A5B" w:rsidP="00E558D1">
            <w:r>
              <w:t>Podbudowa pomocnicza z mieszanki kruszywa niezwiązanego</w:t>
            </w:r>
          </w:p>
        </w:tc>
      </w:tr>
    </w:tbl>
    <w:p w:rsidR="00C96A5B" w:rsidRDefault="00C96A5B" w:rsidP="00C96A5B">
      <w:pPr>
        <w:pStyle w:val="Nagwek2"/>
      </w:pPr>
      <w:r>
        <w:t>10.2. Normy</w:t>
      </w:r>
    </w:p>
    <w:tbl>
      <w:tblPr>
        <w:tblW w:w="9228" w:type="dxa"/>
        <w:tblCellMar>
          <w:left w:w="0" w:type="dxa"/>
          <w:right w:w="0" w:type="dxa"/>
        </w:tblCellMar>
        <w:tblLook w:val="04A0" w:firstRow="1" w:lastRow="0" w:firstColumn="1" w:lastColumn="0" w:noHBand="0" w:noVBand="1"/>
      </w:tblPr>
      <w:tblGrid>
        <w:gridCol w:w="675"/>
        <w:gridCol w:w="2073"/>
        <w:gridCol w:w="6480"/>
      </w:tblGrid>
      <w:tr w:rsidR="00C96A5B" w:rsidTr="00E558D1">
        <w:tc>
          <w:tcPr>
            <w:tcW w:w="675" w:type="dxa"/>
            <w:tcMar>
              <w:top w:w="0" w:type="dxa"/>
              <w:left w:w="108" w:type="dxa"/>
              <w:bottom w:w="0" w:type="dxa"/>
              <w:right w:w="108" w:type="dxa"/>
            </w:tcMar>
            <w:hideMark/>
          </w:tcPr>
          <w:p w:rsidR="00C96A5B" w:rsidRDefault="00C96A5B" w:rsidP="00E558D1">
            <w:pPr>
              <w:jc w:val="center"/>
              <w:rPr>
                <w:rFonts w:eastAsiaTheme="minorEastAsia"/>
              </w:rPr>
            </w:pPr>
            <w:r>
              <w:t>5.</w:t>
            </w:r>
          </w:p>
        </w:tc>
        <w:tc>
          <w:tcPr>
            <w:tcW w:w="2073" w:type="dxa"/>
            <w:tcMar>
              <w:top w:w="0" w:type="dxa"/>
              <w:left w:w="108" w:type="dxa"/>
              <w:bottom w:w="0" w:type="dxa"/>
              <w:right w:w="108" w:type="dxa"/>
            </w:tcMar>
            <w:hideMark/>
          </w:tcPr>
          <w:p w:rsidR="00C96A5B" w:rsidRDefault="00C96A5B" w:rsidP="00E558D1">
            <w:r>
              <w:t>PN-EN 933-1</w:t>
            </w:r>
          </w:p>
        </w:tc>
        <w:tc>
          <w:tcPr>
            <w:tcW w:w="6480" w:type="dxa"/>
            <w:tcMar>
              <w:top w:w="0" w:type="dxa"/>
              <w:left w:w="108" w:type="dxa"/>
              <w:bottom w:w="0" w:type="dxa"/>
              <w:right w:w="108" w:type="dxa"/>
            </w:tcMar>
            <w:hideMark/>
          </w:tcPr>
          <w:p w:rsidR="00C96A5B" w:rsidRDefault="00C96A5B" w:rsidP="00E558D1">
            <w:r>
              <w:t>Badania geometrycznych właściwości kruszyw – Oznaczanie składu ziarnowego – Metoda przesiewania</w:t>
            </w:r>
          </w:p>
        </w:tc>
      </w:tr>
      <w:tr w:rsidR="00C96A5B" w:rsidTr="00E558D1">
        <w:tc>
          <w:tcPr>
            <w:tcW w:w="675" w:type="dxa"/>
            <w:tcMar>
              <w:top w:w="0" w:type="dxa"/>
              <w:left w:w="108" w:type="dxa"/>
              <w:bottom w:w="0" w:type="dxa"/>
              <w:right w:w="108" w:type="dxa"/>
            </w:tcMar>
            <w:hideMark/>
          </w:tcPr>
          <w:p w:rsidR="00C96A5B" w:rsidRDefault="00C96A5B" w:rsidP="00E558D1">
            <w:pPr>
              <w:jc w:val="center"/>
            </w:pPr>
            <w:r>
              <w:t>6.</w:t>
            </w:r>
          </w:p>
        </w:tc>
        <w:tc>
          <w:tcPr>
            <w:tcW w:w="2073" w:type="dxa"/>
            <w:tcMar>
              <w:top w:w="0" w:type="dxa"/>
              <w:left w:w="108" w:type="dxa"/>
              <w:bottom w:w="0" w:type="dxa"/>
              <w:right w:w="108" w:type="dxa"/>
            </w:tcMar>
            <w:hideMark/>
          </w:tcPr>
          <w:p w:rsidR="00C96A5B" w:rsidRDefault="00C96A5B" w:rsidP="00E558D1">
            <w:r>
              <w:t>PN-EN 933-3</w:t>
            </w:r>
          </w:p>
        </w:tc>
        <w:tc>
          <w:tcPr>
            <w:tcW w:w="6480" w:type="dxa"/>
            <w:tcMar>
              <w:top w:w="0" w:type="dxa"/>
              <w:left w:w="108" w:type="dxa"/>
              <w:bottom w:w="0" w:type="dxa"/>
              <w:right w:w="108" w:type="dxa"/>
            </w:tcMar>
            <w:hideMark/>
          </w:tcPr>
          <w:p w:rsidR="00C96A5B" w:rsidRDefault="00C96A5B" w:rsidP="00E558D1">
            <w:r>
              <w:t>Badania geometrycznych właściwości kruszyw – Oznaczanie kształtu ziaren za pomocą wskaźnika płaskości</w:t>
            </w:r>
          </w:p>
        </w:tc>
      </w:tr>
    </w:tbl>
    <w:p w:rsidR="00C96A5B" w:rsidRDefault="00C96A5B" w:rsidP="00C96A5B">
      <w:pPr>
        <w:rPr>
          <w:rFonts w:eastAsiaTheme="minorEastAsia"/>
        </w:rPr>
      </w:pPr>
      <w:r>
        <w:t> </w:t>
      </w:r>
    </w:p>
    <w:tbl>
      <w:tblPr>
        <w:tblW w:w="9228" w:type="dxa"/>
        <w:tblCellMar>
          <w:left w:w="0" w:type="dxa"/>
          <w:right w:w="0" w:type="dxa"/>
        </w:tblCellMar>
        <w:tblLook w:val="04A0" w:firstRow="1" w:lastRow="0" w:firstColumn="1" w:lastColumn="0" w:noHBand="0" w:noVBand="1"/>
      </w:tblPr>
      <w:tblGrid>
        <w:gridCol w:w="675"/>
        <w:gridCol w:w="2073"/>
        <w:gridCol w:w="6480"/>
      </w:tblGrid>
      <w:tr w:rsidR="00C96A5B" w:rsidTr="00E558D1">
        <w:tc>
          <w:tcPr>
            <w:tcW w:w="675" w:type="dxa"/>
            <w:tcMar>
              <w:top w:w="0" w:type="dxa"/>
              <w:left w:w="108" w:type="dxa"/>
              <w:bottom w:w="0" w:type="dxa"/>
              <w:right w:w="108" w:type="dxa"/>
            </w:tcMar>
            <w:hideMark/>
          </w:tcPr>
          <w:p w:rsidR="00C96A5B" w:rsidRDefault="00C96A5B" w:rsidP="00E558D1">
            <w:pPr>
              <w:jc w:val="center"/>
            </w:pPr>
            <w:r>
              <w:t>7.</w:t>
            </w:r>
          </w:p>
        </w:tc>
        <w:tc>
          <w:tcPr>
            <w:tcW w:w="2073" w:type="dxa"/>
            <w:tcMar>
              <w:top w:w="0" w:type="dxa"/>
              <w:left w:w="108" w:type="dxa"/>
              <w:bottom w:w="0" w:type="dxa"/>
              <w:right w:w="108" w:type="dxa"/>
            </w:tcMar>
            <w:hideMark/>
          </w:tcPr>
          <w:p w:rsidR="00C96A5B" w:rsidRDefault="00C96A5B" w:rsidP="00E558D1">
            <w:r>
              <w:t>PN-EN 933-4</w:t>
            </w:r>
          </w:p>
        </w:tc>
        <w:tc>
          <w:tcPr>
            <w:tcW w:w="6480" w:type="dxa"/>
            <w:tcMar>
              <w:top w:w="0" w:type="dxa"/>
              <w:left w:w="108" w:type="dxa"/>
              <w:bottom w:w="0" w:type="dxa"/>
              <w:right w:w="108" w:type="dxa"/>
            </w:tcMar>
            <w:hideMark/>
          </w:tcPr>
          <w:p w:rsidR="00C96A5B" w:rsidRDefault="00C96A5B" w:rsidP="00E558D1">
            <w:r>
              <w:t>Badania geometrycznych właściwości kruszyw – Oznaczanie kształtu ziaren – Wskaźnik kształtu</w:t>
            </w:r>
          </w:p>
        </w:tc>
      </w:tr>
      <w:tr w:rsidR="00C96A5B" w:rsidTr="00E558D1">
        <w:tc>
          <w:tcPr>
            <w:tcW w:w="675" w:type="dxa"/>
            <w:tcMar>
              <w:top w:w="0" w:type="dxa"/>
              <w:left w:w="108" w:type="dxa"/>
              <w:bottom w:w="0" w:type="dxa"/>
              <w:right w:w="108" w:type="dxa"/>
            </w:tcMar>
            <w:hideMark/>
          </w:tcPr>
          <w:p w:rsidR="00C96A5B" w:rsidRDefault="00C96A5B" w:rsidP="00E558D1">
            <w:pPr>
              <w:jc w:val="center"/>
            </w:pPr>
            <w:r>
              <w:t>8.</w:t>
            </w:r>
          </w:p>
        </w:tc>
        <w:tc>
          <w:tcPr>
            <w:tcW w:w="2073" w:type="dxa"/>
            <w:tcMar>
              <w:top w:w="0" w:type="dxa"/>
              <w:left w:w="108" w:type="dxa"/>
              <w:bottom w:w="0" w:type="dxa"/>
              <w:right w:w="108" w:type="dxa"/>
            </w:tcMar>
            <w:hideMark/>
          </w:tcPr>
          <w:p w:rsidR="00C96A5B" w:rsidRDefault="00C96A5B" w:rsidP="00E558D1">
            <w:r>
              <w:t>PN-EN 933-5</w:t>
            </w:r>
          </w:p>
        </w:tc>
        <w:tc>
          <w:tcPr>
            <w:tcW w:w="6480" w:type="dxa"/>
            <w:tcMar>
              <w:top w:w="0" w:type="dxa"/>
              <w:left w:w="108" w:type="dxa"/>
              <w:bottom w:w="0" w:type="dxa"/>
              <w:right w:w="108" w:type="dxa"/>
            </w:tcMar>
            <w:hideMark/>
          </w:tcPr>
          <w:p w:rsidR="00C96A5B" w:rsidRDefault="00C96A5B" w:rsidP="00E558D1">
            <w:r>
              <w:t>Badania geometrycznych właściwości kruszyw – Oznaczanie procentowej zawartości ziarn o powierzchniach powstałych w wyniku przekruszenia lub łamania kruszyw grubych</w:t>
            </w:r>
          </w:p>
        </w:tc>
      </w:tr>
      <w:tr w:rsidR="00C96A5B" w:rsidTr="00E558D1">
        <w:tc>
          <w:tcPr>
            <w:tcW w:w="675" w:type="dxa"/>
            <w:tcMar>
              <w:top w:w="0" w:type="dxa"/>
              <w:left w:w="108" w:type="dxa"/>
              <w:bottom w:w="0" w:type="dxa"/>
              <w:right w:w="108" w:type="dxa"/>
            </w:tcMar>
            <w:hideMark/>
          </w:tcPr>
          <w:p w:rsidR="00C96A5B" w:rsidRDefault="00C96A5B" w:rsidP="00E558D1">
            <w:pPr>
              <w:jc w:val="center"/>
            </w:pPr>
            <w:r>
              <w:t>9.</w:t>
            </w:r>
          </w:p>
        </w:tc>
        <w:tc>
          <w:tcPr>
            <w:tcW w:w="2073" w:type="dxa"/>
            <w:tcMar>
              <w:top w:w="0" w:type="dxa"/>
              <w:left w:w="108" w:type="dxa"/>
              <w:bottom w:w="0" w:type="dxa"/>
              <w:right w:w="108" w:type="dxa"/>
            </w:tcMar>
            <w:hideMark/>
          </w:tcPr>
          <w:p w:rsidR="00C96A5B" w:rsidRDefault="00C96A5B" w:rsidP="00E558D1">
            <w:r>
              <w:t>PN-EN 1097-1</w:t>
            </w:r>
          </w:p>
        </w:tc>
        <w:tc>
          <w:tcPr>
            <w:tcW w:w="6480" w:type="dxa"/>
            <w:tcMar>
              <w:top w:w="0" w:type="dxa"/>
              <w:left w:w="108" w:type="dxa"/>
              <w:bottom w:w="0" w:type="dxa"/>
              <w:right w:w="108" w:type="dxa"/>
            </w:tcMar>
            <w:hideMark/>
          </w:tcPr>
          <w:p w:rsidR="00C96A5B" w:rsidRDefault="00C96A5B" w:rsidP="00E558D1">
            <w:r>
              <w:t>Badania mechanicznych i fizycznych właściwości kruszyw – Oznaczanie odporności na ścieranie (mikro-Deval)</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10.</w:t>
            </w:r>
          </w:p>
        </w:tc>
        <w:tc>
          <w:tcPr>
            <w:tcW w:w="2073" w:type="dxa"/>
            <w:tcMar>
              <w:top w:w="0" w:type="dxa"/>
              <w:left w:w="108" w:type="dxa"/>
              <w:bottom w:w="0" w:type="dxa"/>
              <w:right w:w="108" w:type="dxa"/>
            </w:tcMar>
            <w:hideMark/>
          </w:tcPr>
          <w:p w:rsidR="00C96A5B" w:rsidRDefault="00C96A5B" w:rsidP="00E558D1">
            <w:r>
              <w:t>PN-EN 1097-2</w:t>
            </w:r>
          </w:p>
        </w:tc>
        <w:tc>
          <w:tcPr>
            <w:tcW w:w="6480" w:type="dxa"/>
            <w:tcMar>
              <w:top w:w="0" w:type="dxa"/>
              <w:left w:w="108" w:type="dxa"/>
              <w:bottom w:w="0" w:type="dxa"/>
              <w:right w:w="108" w:type="dxa"/>
            </w:tcMar>
            <w:hideMark/>
          </w:tcPr>
          <w:p w:rsidR="00C96A5B" w:rsidRDefault="00C96A5B" w:rsidP="00E558D1">
            <w:r>
              <w:t>Badania mechanicznych i fizycznych właściwości kruszyw – Metody oznaczania odporności na rozdrabnianie</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11.</w:t>
            </w:r>
          </w:p>
        </w:tc>
        <w:tc>
          <w:tcPr>
            <w:tcW w:w="2073" w:type="dxa"/>
            <w:tcMar>
              <w:top w:w="0" w:type="dxa"/>
              <w:left w:w="108" w:type="dxa"/>
              <w:bottom w:w="0" w:type="dxa"/>
              <w:right w:w="108" w:type="dxa"/>
            </w:tcMar>
            <w:hideMark/>
          </w:tcPr>
          <w:p w:rsidR="00C96A5B" w:rsidRDefault="00C96A5B" w:rsidP="00E558D1">
            <w:r>
              <w:t>PN-EN 1097-6</w:t>
            </w:r>
          </w:p>
        </w:tc>
        <w:tc>
          <w:tcPr>
            <w:tcW w:w="6480" w:type="dxa"/>
            <w:tcMar>
              <w:top w:w="0" w:type="dxa"/>
              <w:left w:w="108" w:type="dxa"/>
              <w:bottom w:w="0" w:type="dxa"/>
              <w:right w:w="108" w:type="dxa"/>
            </w:tcMar>
            <w:hideMark/>
          </w:tcPr>
          <w:p w:rsidR="00C96A5B" w:rsidRDefault="00C96A5B" w:rsidP="00E558D1">
            <w:r>
              <w:t>Badania mechanicznych i fizycznych właściwości kruszyw – Część 6: Oznaczanie gęstości ziarn i nasiąkliwości</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12.</w:t>
            </w:r>
          </w:p>
        </w:tc>
        <w:tc>
          <w:tcPr>
            <w:tcW w:w="2073" w:type="dxa"/>
            <w:tcMar>
              <w:top w:w="0" w:type="dxa"/>
              <w:left w:w="108" w:type="dxa"/>
              <w:bottom w:w="0" w:type="dxa"/>
              <w:right w:w="108" w:type="dxa"/>
            </w:tcMar>
            <w:hideMark/>
          </w:tcPr>
          <w:p w:rsidR="00C96A5B" w:rsidRDefault="00C96A5B" w:rsidP="00E558D1">
            <w:r>
              <w:t>PN-EN 1367-1</w:t>
            </w:r>
          </w:p>
        </w:tc>
        <w:tc>
          <w:tcPr>
            <w:tcW w:w="6480" w:type="dxa"/>
            <w:tcMar>
              <w:top w:w="0" w:type="dxa"/>
              <w:left w:w="108" w:type="dxa"/>
              <w:bottom w:w="0" w:type="dxa"/>
              <w:right w:w="108" w:type="dxa"/>
            </w:tcMar>
            <w:hideMark/>
          </w:tcPr>
          <w:p w:rsidR="00C96A5B" w:rsidRDefault="00C96A5B" w:rsidP="00E558D1">
            <w:r>
              <w:t>Badania właściwości cieplnych i odporności kruszyw na działanie czynników atmosferycznych – Część 1: Oznaczanie mrozoodporności</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13.</w:t>
            </w:r>
          </w:p>
        </w:tc>
        <w:tc>
          <w:tcPr>
            <w:tcW w:w="2073" w:type="dxa"/>
            <w:tcMar>
              <w:top w:w="0" w:type="dxa"/>
              <w:left w:w="108" w:type="dxa"/>
              <w:bottom w:w="0" w:type="dxa"/>
              <w:right w:w="108" w:type="dxa"/>
            </w:tcMar>
            <w:hideMark/>
          </w:tcPr>
          <w:p w:rsidR="00C96A5B" w:rsidRDefault="00C96A5B" w:rsidP="00E558D1">
            <w:r>
              <w:t>PN-EN 1367-3</w:t>
            </w:r>
          </w:p>
        </w:tc>
        <w:tc>
          <w:tcPr>
            <w:tcW w:w="6480" w:type="dxa"/>
            <w:tcMar>
              <w:top w:w="0" w:type="dxa"/>
              <w:left w:w="108" w:type="dxa"/>
              <w:bottom w:w="0" w:type="dxa"/>
              <w:right w:w="108" w:type="dxa"/>
            </w:tcMar>
            <w:hideMark/>
          </w:tcPr>
          <w:p w:rsidR="00C96A5B" w:rsidRDefault="00C96A5B" w:rsidP="00E558D1">
            <w:r>
              <w:t>Badania właściwości cieplnych i odporności kruszyw na działanie czynników atmosferycznych – Część 3: Badanie bazaltowej zgorzeli słonecznej metodą gotowania</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14.</w:t>
            </w:r>
          </w:p>
        </w:tc>
        <w:tc>
          <w:tcPr>
            <w:tcW w:w="2073" w:type="dxa"/>
            <w:tcMar>
              <w:top w:w="0" w:type="dxa"/>
              <w:left w:w="108" w:type="dxa"/>
              <w:bottom w:w="0" w:type="dxa"/>
              <w:right w:w="108" w:type="dxa"/>
            </w:tcMar>
            <w:hideMark/>
          </w:tcPr>
          <w:p w:rsidR="00C96A5B" w:rsidRDefault="00C96A5B" w:rsidP="00E558D1">
            <w:r>
              <w:t>PN-EN 1744-1</w:t>
            </w:r>
          </w:p>
        </w:tc>
        <w:tc>
          <w:tcPr>
            <w:tcW w:w="6480" w:type="dxa"/>
            <w:tcMar>
              <w:top w:w="0" w:type="dxa"/>
              <w:left w:w="108" w:type="dxa"/>
              <w:bottom w:w="0" w:type="dxa"/>
              <w:right w:w="108" w:type="dxa"/>
            </w:tcMar>
            <w:hideMark/>
          </w:tcPr>
          <w:p w:rsidR="00C96A5B" w:rsidRDefault="00C96A5B" w:rsidP="00E558D1">
            <w:r>
              <w:t>Badania chemicznych właściwości kruszyw – Analiza chemiczna</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15.</w:t>
            </w:r>
          </w:p>
        </w:tc>
        <w:tc>
          <w:tcPr>
            <w:tcW w:w="2073" w:type="dxa"/>
            <w:tcMar>
              <w:top w:w="0" w:type="dxa"/>
              <w:left w:w="108" w:type="dxa"/>
              <w:bottom w:w="0" w:type="dxa"/>
              <w:right w:w="108" w:type="dxa"/>
            </w:tcMar>
            <w:hideMark/>
          </w:tcPr>
          <w:p w:rsidR="00C96A5B" w:rsidRDefault="00C96A5B" w:rsidP="00E558D1">
            <w:r>
              <w:t>PN-EN 1744-3</w:t>
            </w:r>
          </w:p>
        </w:tc>
        <w:tc>
          <w:tcPr>
            <w:tcW w:w="6480" w:type="dxa"/>
            <w:tcMar>
              <w:top w:w="0" w:type="dxa"/>
              <w:left w:w="108" w:type="dxa"/>
              <w:bottom w:w="0" w:type="dxa"/>
              <w:right w:w="108" w:type="dxa"/>
            </w:tcMar>
            <w:hideMark/>
          </w:tcPr>
          <w:p w:rsidR="00C96A5B" w:rsidRDefault="00C96A5B" w:rsidP="00E558D1">
            <w:r>
              <w:t>Badania chemicznych właściwości kruszyw – Część 3: Przygotowanie wyciągów przez wymywanie kruszyw</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16.</w:t>
            </w:r>
          </w:p>
        </w:tc>
        <w:tc>
          <w:tcPr>
            <w:tcW w:w="2073" w:type="dxa"/>
            <w:tcMar>
              <w:top w:w="0" w:type="dxa"/>
              <w:left w:w="108" w:type="dxa"/>
              <w:bottom w:w="0" w:type="dxa"/>
              <w:right w:w="108" w:type="dxa"/>
            </w:tcMar>
            <w:hideMark/>
          </w:tcPr>
          <w:p w:rsidR="00C96A5B" w:rsidRDefault="00C96A5B" w:rsidP="00E558D1">
            <w:r>
              <w:t>PN-EN 13242</w:t>
            </w:r>
          </w:p>
        </w:tc>
        <w:tc>
          <w:tcPr>
            <w:tcW w:w="6480" w:type="dxa"/>
            <w:tcMar>
              <w:top w:w="0" w:type="dxa"/>
              <w:left w:w="108" w:type="dxa"/>
              <w:bottom w:w="0" w:type="dxa"/>
              <w:right w:w="108" w:type="dxa"/>
            </w:tcMar>
            <w:hideMark/>
          </w:tcPr>
          <w:p w:rsidR="00C96A5B" w:rsidRDefault="00C96A5B" w:rsidP="00E558D1">
            <w:r>
              <w:t>Kruszywa do niezwiązanych i związanych hydraulicznie materiałów stosowanych w obiektach budowlanych i budownictwie drogowym</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17.</w:t>
            </w:r>
          </w:p>
        </w:tc>
        <w:tc>
          <w:tcPr>
            <w:tcW w:w="2073" w:type="dxa"/>
            <w:tcMar>
              <w:top w:w="0" w:type="dxa"/>
              <w:left w:w="108" w:type="dxa"/>
              <w:bottom w:w="0" w:type="dxa"/>
              <w:right w:w="108" w:type="dxa"/>
            </w:tcMar>
            <w:hideMark/>
          </w:tcPr>
          <w:p w:rsidR="00C96A5B" w:rsidRDefault="00C96A5B" w:rsidP="00E558D1">
            <w:r>
              <w:t>PN-EN 13285</w:t>
            </w:r>
          </w:p>
        </w:tc>
        <w:tc>
          <w:tcPr>
            <w:tcW w:w="6480" w:type="dxa"/>
            <w:tcMar>
              <w:top w:w="0" w:type="dxa"/>
              <w:left w:w="108" w:type="dxa"/>
              <w:bottom w:w="0" w:type="dxa"/>
              <w:right w:w="108" w:type="dxa"/>
            </w:tcMar>
            <w:hideMark/>
          </w:tcPr>
          <w:p w:rsidR="00C96A5B" w:rsidRDefault="00C96A5B" w:rsidP="00E558D1">
            <w:r>
              <w:t xml:space="preserve">Mieszanki niezwiązane – Wymagania </w:t>
            </w:r>
          </w:p>
        </w:tc>
      </w:tr>
      <w:tr w:rsidR="00C96A5B" w:rsidTr="00E558D1">
        <w:tc>
          <w:tcPr>
            <w:tcW w:w="675" w:type="dxa"/>
            <w:tcMar>
              <w:top w:w="0" w:type="dxa"/>
              <w:left w:w="108" w:type="dxa"/>
              <w:bottom w:w="0" w:type="dxa"/>
              <w:right w:w="108" w:type="dxa"/>
            </w:tcMar>
            <w:hideMark/>
          </w:tcPr>
          <w:p w:rsidR="00C96A5B" w:rsidRDefault="00C96A5B" w:rsidP="00E558D1">
            <w:pPr>
              <w:jc w:val="center"/>
            </w:pPr>
            <w:r>
              <w:lastRenderedPageBreak/>
              <w:t>18.</w:t>
            </w:r>
          </w:p>
        </w:tc>
        <w:tc>
          <w:tcPr>
            <w:tcW w:w="2073" w:type="dxa"/>
            <w:tcMar>
              <w:top w:w="0" w:type="dxa"/>
              <w:left w:w="108" w:type="dxa"/>
              <w:bottom w:w="0" w:type="dxa"/>
              <w:right w:w="108" w:type="dxa"/>
            </w:tcMar>
            <w:hideMark/>
          </w:tcPr>
          <w:p w:rsidR="00C96A5B" w:rsidRDefault="00C96A5B" w:rsidP="00E558D1">
            <w:r>
              <w:t>PN-EN 13286-2</w:t>
            </w:r>
          </w:p>
        </w:tc>
        <w:tc>
          <w:tcPr>
            <w:tcW w:w="6480" w:type="dxa"/>
            <w:tcMar>
              <w:top w:w="0" w:type="dxa"/>
              <w:left w:w="108" w:type="dxa"/>
              <w:bottom w:w="0" w:type="dxa"/>
              <w:right w:w="108" w:type="dxa"/>
            </w:tcMar>
            <w:hideMark/>
          </w:tcPr>
          <w:p w:rsidR="00C96A5B" w:rsidRDefault="00C96A5B" w:rsidP="00E558D1">
            <w:r>
              <w:t>Mieszanki niezwiązane i związane spoiwem hydraulicznym – Część 2: Metody określania gęstości i zawartości wody – Zagęszczanie metodą Proctora</w:t>
            </w:r>
          </w:p>
        </w:tc>
      </w:tr>
      <w:tr w:rsidR="00C96A5B" w:rsidTr="00E558D1">
        <w:tc>
          <w:tcPr>
            <w:tcW w:w="675" w:type="dxa"/>
            <w:tcMar>
              <w:top w:w="0" w:type="dxa"/>
              <w:left w:w="108" w:type="dxa"/>
              <w:bottom w:w="0" w:type="dxa"/>
              <w:right w:w="108" w:type="dxa"/>
            </w:tcMar>
            <w:hideMark/>
          </w:tcPr>
          <w:p w:rsidR="00C96A5B" w:rsidRDefault="00C96A5B" w:rsidP="00E558D1">
            <w:pPr>
              <w:jc w:val="center"/>
            </w:pPr>
            <w:r>
              <w:t>19.</w:t>
            </w:r>
          </w:p>
        </w:tc>
        <w:tc>
          <w:tcPr>
            <w:tcW w:w="2073" w:type="dxa"/>
            <w:tcMar>
              <w:top w:w="0" w:type="dxa"/>
              <w:left w:w="108" w:type="dxa"/>
              <w:bottom w:w="0" w:type="dxa"/>
              <w:right w:w="108" w:type="dxa"/>
            </w:tcMar>
            <w:hideMark/>
          </w:tcPr>
          <w:p w:rsidR="00C96A5B" w:rsidRDefault="00C96A5B" w:rsidP="00E558D1">
            <w:r>
              <w:t>PN-EN 13286-47</w:t>
            </w:r>
          </w:p>
        </w:tc>
        <w:tc>
          <w:tcPr>
            <w:tcW w:w="6480" w:type="dxa"/>
            <w:tcMar>
              <w:top w:w="0" w:type="dxa"/>
              <w:left w:w="108" w:type="dxa"/>
              <w:bottom w:w="0" w:type="dxa"/>
              <w:right w:w="108" w:type="dxa"/>
            </w:tcMar>
            <w:hideMark/>
          </w:tcPr>
          <w:p w:rsidR="00C96A5B" w:rsidRDefault="00C96A5B" w:rsidP="00E558D1">
            <w:r>
              <w:t>Mieszanki niezwiązane i związane spoiwem hydraulicznym – Część 47: Metody badań dla określenia nośności, kalifornijski wskaźnik nośności CBR, natychmiastowy wskaźnik nośności i pęcznienia liniowego</w:t>
            </w:r>
          </w:p>
        </w:tc>
      </w:tr>
    </w:tbl>
    <w:p w:rsidR="00C96A5B" w:rsidRDefault="00C96A5B" w:rsidP="00C96A5B">
      <w:pPr>
        <w:pStyle w:val="Nagwek2"/>
      </w:pPr>
      <w:r>
        <w:t>10.3. Inne dokumenty</w:t>
      </w:r>
    </w:p>
    <w:p w:rsidR="00C96A5B" w:rsidRDefault="00C96A5B" w:rsidP="00C96A5B">
      <w:pPr>
        <w:ind w:left="567" w:hanging="567"/>
        <w:rPr>
          <w:rFonts w:eastAsiaTheme="minorEastAsia"/>
        </w:rPr>
      </w:pPr>
      <w:r>
        <w:t>20.</w:t>
      </w:r>
      <w:r>
        <w:rPr>
          <w:sz w:val="14"/>
          <w:szCs w:val="14"/>
        </w:rPr>
        <w:t xml:space="preserve">         </w:t>
      </w:r>
      <w:r>
        <w:t>Mieszanki niezwiązane do dróg krajowych. WT-4 2010. Wymagania techniczne (zalecone do stosowania w specyfikacji technicznej na roboty budowlane na drogach krajowych wg zarządzenia nr 102 GDDKiA z dnia 19.11.2010 r.)</w:t>
      </w:r>
    </w:p>
    <w:p w:rsidR="00C96A5B" w:rsidRDefault="00C96A5B" w:rsidP="00C96A5B">
      <w:pPr>
        <w:ind w:left="567" w:hanging="567"/>
      </w:pPr>
      <w:r>
        <w:t>21.</w:t>
      </w:r>
      <w:r>
        <w:rPr>
          <w:sz w:val="14"/>
          <w:szCs w:val="14"/>
        </w:rPr>
        <w:t xml:space="preserve">         </w:t>
      </w:r>
      <w:r>
        <w:t>Rozporządzenie Ministra Transportu i Gospodarki Morskiej z dnia 2 marca 1999 r. w sprawie warunków technicznych, jakim powinny odpowiadać drogi publiczne i ich usytuowanie (Dz.U. nr 43, poz. 430)</w:t>
      </w:r>
    </w:p>
    <w:p w:rsidR="00C96A5B" w:rsidRDefault="00C96A5B" w:rsidP="00C96A5B">
      <w:r>
        <w:t>22.</w:t>
      </w:r>
      <w:r>
        <w:rPr>
          <w:sz w:val="14"/>
          <w:szCs w:val="14"/>
        </w:rPr>
        <w:t xml:space="preserve">         </w:t>
      </w:r>
      <w:r>
        <w:t>Katalog typowych konstrukcji nawierzchni podatnych i półsztywnych. Generalna Dyrekcja Dróg Publicznych – Instytut Badawczy Dróg i Mostów, Warszawa</w:t>
      </w:r>
    </w:p>
    <w:p w:rsidR="00CD292D" w:rsidRDefault="00C96A5B" w:rsidP="00C96A5B">
      <w:pPr>
        <w:pStyle w:val="Nagwek3"/>
      </w:pPr>
      <w:r>
        <w:rPr>
          <w:rFonts w:eastAsiaTheme="minorEastAsia"/>
        </w:rPr>
        <w:br w:type="page"/>
      </w:r>
    </w:p>
    <w:p w:rsidR="00CD292D" w:rsidRDefault="00CD292D"/>
    <w:p w:rsidR="00CD292D" w:rsidRDefault="00CD292D"/>
    <w:sectPr w:rsidR="00CD2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C5" w:rsidRDefault="00E728C5" w:rsidP="009E3D7E">
      <w:pPr>
        <w:spacing w:after="0" w:line="240" w:lineRule="auto"/>
      </w:pPr>
      <w:r>
        <w:separator/>
      </w:r>
    </w:p>
  </w:endnote>
  <w:endnote w:type="continuationSeparator" w:id="0">
    <w:p w:rsidR="00E728C5" w:rsidRDefault="00E728C5" w:rsidP="009E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C5" w:rsidRDefault="00E728C5" w:rsidP="009E3D7E">
      <w:pPr>
        <w:spacing w:after="0" w:line="240" w:lineRule="auto"/>
      </w:pPr>
      <w:r>
        <w:separator/>
      </w:r>
    </w:p>
  </w:footnote>
  <w:footnote w:type="continuationSeparator" w:id="0">
    <w:p w:rsidR="00E728C5" w:rsidRDefault="00E728C5" w:rsidP="009E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58565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8C6DB8"/>
    <w:lvl w:ilvl="0">
      <w:numFmt w:val="bullet"/>
      <w:lvlText w:val="*"/>
      <w:lvlJc w:val="left"/>
      <w:pPr>
        <w:ind w:left="0" w:firstLine="0"/>
      </w:pPr>
    </w:lvl>
  </w:abstractNum>
  <w:abstractNum w:abstractNumId="2" w15:restartNumberingAfterBreak="0">
    <w:nsid w:val="035D4492"/>
    <w:multiLevelType w:val="singleLevel"/>
    <w:tmpl w:val="ABB82210"/>
    <w:lvl w:ilvl="0">
      <w:start w:val="1"/>
      <w:numFmt w:val="lowerLetter"/>
      <w:lvlText w:val="%1)"/>
      <w:legacy w:legacy="1" w:legacySpace="0" w:legacyIndent="283"/>
      <w:lvlJc w:val="left"/>
      <w:pPr>
        <w:ind w:left="283" w:hanging="283"/>
      </w:pPr>
    </w:lvl>
  </w:abstractNum>
  <w:abstractNum w:abstractNumId="3" w15:restartNumberingAfterBreak="0">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4" w15:restartNumberingAfterBreak="0">
    <w:nsid w:val="05646DC5"/>
    <w:multiLevelType w:val="singleLevel"/>
    <w:tmpl w:val="CA501DC0"/>
    <w:lvl w:ilvl="0">
      <w:start w:val="9"/>
      <w:numFmt w:val="decimal"/>
      <w:lvlText w:val="4.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5"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6" w15:restartNumberingAfterBreak="0">
    <w:nsid w:val="08AE1D16"/>
    <w:multiLevelType w:val="hybridMultilevel"/>
    <w:tmpl w:val="2ADC9F5A"/>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051B4A"/>
    <w:multiLevelType w:val="singleLevel"/>
    <w:tmpl w:val="2D407006"/>
    <w:lvl w:ilvl="0">
      <w:start w:val="2"/>
      <w:numFmt w:val="lowerLetter"/>
      <w:lvlText w:val="%1)"/>
      <w:legacy w:legacy="1" w:legacySpace="0" w:legacyIndent="283"/>
      <w:lvlJc w:val="left"/>
      <w:pPr>
        <w:ind w:left="283" w:hanging="283"/>
      </w:pPr>
    </w:lvl>
  </w:abstractNum>
  <w:abstractNum w:abstractNumId="8"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9" w15:restartNumberingAfterBreak="0">
    <w:nsid w:val="10176CEA"/>
    <w:multiLevelType w:val="hybridMultilevel"/>
    <w:tmpl w:val="14A8E0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1" w15:restartNumberingAfterBreak="0">
    <w:nsid w:val="141815D8"/>
    <w:multiLevelType w:val="hybridMultilevel"/>
    <w:tmpl w:val="433EF2E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6254830"/>
    <w:multiLevelType w:val="hybridMultilevel"/>
    <w:tmpl w:val="E16802A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8AD50A9"/>
    <w:multiLevelType w:val="singleLevel"/>
    <w:tmpl w:val="7168FEEA"/>
    <w:lvl w:ilvl="0">
      <w:start w:val="8"/>
      <w:numFmt w:val="decimal"/>
      <w:lvlText w:val="4.2.%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14" w15:restartNumberingAfterBreak="0">
    <w:nsid w:val="1ADD39A6"/>
    <w:multiLevelType w:val="singleLevel"/>
    <w:tmpl w:val="ABB82210"/>
    <w:lvl w:ilvl="0">
      <w:start w:val="1"/>
      <w:numFmt w:val="lowerLetter"/>
      <w:lvlText w:val="%1)"/>
      <w:legacy w:legacy="1" w:legacySpace="0" w:legacyIndent="283"/>
      <w:lvlJc w:val="left"/>
      <w:pPr>
        <w:ind w:left="283" w:hanging="283"/>
      </w:pPr>
    </w:lvl>
  </w:abstractNum>
  <w:abstractNum w:abstractNumId="15"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16"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17"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18" w15:restartNumberingAfterBreak="0">
    <w:nsid w:val="2094777E"/>
    <w:multiLevelType w:val="hybridMultilevel"/>
    <w:tmpl w:val="E072F912"/>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213B0B40"/>
    <w:multiLevelType w:val="singleLevel"/>
    <w:tmpl w:val="AFBE8F0C"/>
    <w:lvl w:ilvl="0">
      <w:start w:val="1"/>
      <w:numFmt w:val="decimal"/>
      <w:lvlText w:val="%1."/>
      <w:legacy w:legacy="1" w:legacySpace="0" w:legacyIndent="283"/>
      <w:lvlJc w:val="left"/>
      <w:pPr>
        <w:ind w:left="283" w:hanging="283"/>
      </w:pPr>
    </w:lvl>
  </w:abstractNum>
  <w:abstractNum w:abstractNumId="20" w15:restartNumberingAfterBreak="0">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21" w15:restartNumberingAfterBreak="0">
    <w:nsid w:val="254344AC"/>
    <w:multiLevelType w:val="hybridMultilevel"/>
    <w:tmpl w:val="717053B2"/>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23" w15:restartNumberingAfterBreak="0">
    <w:nsid w:val="2B7F5786"/>
    <w:multiLevelType w:val="hybridMultilevel"/>
    <w:tmpl w:val="CDF818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EBA5C33"/>
    <w:multiLevelType w:val="singleLevel"/>
    <w:tmpl w:val="AAF62D9A"/>
    <w:lvl w:ilvl="0">
      <w:start w:val="4"/>
      <w:numFmt w:val="lowerLetter"/>
      <w:lvlText w:val="%1)"/>
      <w:legacy w:legacy="1" w:legacySpace="0" w:legacyIndent="283"/>
      <w:lvlJc w:val="left"/>
      <w:pPr>
        <w:ind w:left="283" w:hanging="283"/>
      </w:pPr>
    </w:lvl>
  </w:abstractNum>
  <w:abstractNum w:abstractNumId="25" w15:restartNumberingAfterBreak="0">
    <w:nsid w:val="2F242BE1"/>
    <w:multiLevelType w:val="hybridMultilevel"/>
    <w:tmpl w:val="4456092C"/>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0EB6CC3"/>
    <w:multiLevelType w:val="hybridMultilevel"/>
    <w:tmpl w:val="7592E47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1682659"/>
    <w:multiLevelType w:val="hybridMultilevel"/>
    <w:tmpl w:val="CFCC7924"/>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29" w15:restartNumberingAfterBreak="0">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30"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31"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32" w15:restartNumberingAfterBreak="0">
    <w:nsid w:val="3C152CF0"/>
    <w:multiLevelType w:val="hybridMultilevel"/>
    <w:tmpl w:val="0B2C0DD4"/>
    <w:lvl w:ilvl="0" w:tplc="E24AE728">
      <w:start w:val="1"/>
      <w:numFmt w:val="decimal"/>
      <w:lvlText w:val="%1."/>
      <w:lvlJc w:val="left"/>
      <w:pPr>
        <w:tabs>
          <w:tab w:val="num" w:pos="720"/>
        </w:tabs>
        <w:ind w:left="720" w:hanging="360"/>
      </w:pPr>
    </w:lvl>
    <w:lvl w:ilvl="1" w:tplc="A4587530">
      <w:numFmt w:val="none"/>
      <w:lvlText w:val=""/>
      <w:lvlJc w:val="left"/>
      <w:pPr>
        <w:tabs>
          <w:tab w:val="num" w:pos="360"/>
        </w:tabs>
        <w:ind w:left="0" w:firstLine="0"/>
      </w:pPr>
    </w:lvl>
    <w:lvl w:ilvl="2" w:tplc="176CDB06">
      <w:numFmt w:val="none"/>
      <w:lvlText w:val=""/>
      <w:lvlJc w:val="left"/>
      <w:pPr>
        <w:tabs>
          <w:tab w:val="num" w:pos="360"/>
        </w:tabs>
        <w:ind w:left="0" w:firstLine="0"/>
      </w:pPr>
    </w:lvl>
    <w:lvl w:ilvl="3" w:tplc="2CE6B8C4">
      <w:numFmt w:val="none"/>
      <w:lvlText w:val=""/>
      <w:lvlJc w:val="left"/>
      <w:pPr>
        <w:tabs>
          <w:tab w:val="num" w:pos="360"/>
        </w:tabs>
        <w:ind w:left="0" w:firstLine="0"/>
      </w:pPr>
    </w:lvl>
    <w:lvl w:ilvl="4" w:tplc="D97CF4DC">
      <w:numFmt w:val="none"/>
      <w:lvlText w:val=""/>
      <w:lvlJc w:val="left"/>
      <w:pPr>
        <w:tabs>
          <w:tab w:val="num" w:pos="360"/>
        </w:tabs>
        <w:ind w:left="0" w:firstLine="0"/>
      </w:pPr>
    </w:lvl>
    <w:lvl w:ilvl="5" w:tplc="432EB30C">
      <w:numFmt w:val="none"/>
      <w:lvlText w:val=""/>
      <w:lvlJc w:val="left"/>
      <w:pPr>
        <w:tabs>
          <w:tab w:val="num" w:pos="360"/>
        </w:tabs>
        <w:ind w:left="0" w:firstLine="0"/>
      </w:pPr>
    </w:lvl>
    <w:lvl w:ilvl="6" w:tplc="5C464136">
      <w:numFmt w:val="none"/>
      <w:lvlText w:val=""/>
      <w:lvlJc w:val="left"/>
      <w:pPr>
        <w:tabs>
          <w:tab w:val="num" w:pos="360"/>
        </w:tabs>
        <w:ind w:left="0" w:firstLine="0"/>
      </w:pPr>
    </w:lvl>
    <w:lvl w:ilvl="7" w:tplc="1EE0BACC">
      <w:numFmt w:val="none"/>
      <w:lvlText w:val=""/>
      <w:lvlJc w:val="left"/>
      <w:pPr>
        <w:tabs>
          <w:tab w:val="num" w:pos="360"/>
        </w:tabs>
        <w:ind w:left="0" w:firstLine="0"/>
      </w:pPr>
    </w:lvl>
    <w:lvl w:ilvl="8" w:tplc="DC1EF6CC">
      <w:numFmt w:val="none"/>
      <w:lvlText w:val=""/>
      <w:lvlJc w:val="left"/>
      <w:pPr>
        <w:tabs>
          <w:tab w:val="num" w:pos="360"/>
        </w:tabs>
        <w:ind w:left="0" w:firstLine="0"/>
      </w:pPr>
    </w:lvl>
  </w:abstractNum>
  <w:abstractNum w:abstractNumId="33"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34" w15:restartNumberingAfterBreak="0">
    <w:nsid w:val="426B5248"/>
    <w:multiLevelType w:val="singleLevel"/>
    <w:tmpl w:val="ABB82210"/>
    <w:lvl w:ilvl="0">
      <w:start w:val="1"/>
      <w:numFmt w:val="lowerLetter"/>
      <w:lvlText w:val="%1)"/>
      <w:legacy w:legacy="1" w:legacySpace="0" w:legacyIndent="283"/>
      <w:lvlJc w:val="left"/>
      <w:pPr>
        <w:ind w:left="283" w:hanging="283"/>
      </w:pPr>
    </w:lvl>
  </w:abstractNum>
  <w:abstractNum w:abstractNumId="35" w15:restartNumberingAfterBreak="0">
    <w:nsid w:val="45F92692"/>
    <w:multiLevelType w:val="singleLevel"/>
    <w:tmpl w:val="A5263C42"/>
    <w:lvl w:ilvl="0">
      <w:start w:val="1"/>
      <w:numFmt w:val="lowerLetter"/>
      <w:lvlText w:val="%1)"/>
      <w:legacy w:legacy="1" w:legacySpace="0" w:legacyIndent="283"/>
      <w:lvlJc w:val="left"/>
      <w:pPr>
        <w:ind w:left="283" w:hanging="283"/>
      </w:pPr>
    </w:lvl>
  </w:abstractNum>
  <w:abstractNum w:abstractNumId="36"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37" w15:restartNumberingAfterBreak="0">
    <w:nsid w:val="489D6E78"/>
    <w:multiLevelType w:val="singleLevel"/>
    <w:tmpl w:val="79041444"/>
    <w:lvl w:ilvl="0">
      <w:start w:val="4"/>
      <w:numFmt w:val="decimal"/>
      <w:lvlText w:val="%1."/>
      <w:legacy w:legacy="1" w:legacySpace="57" w:legacyIndent="340"/>
      <w:lvlJc w:val="center"/>
      <w:pPr>
        <w:ind w:left="340" w:hanging="340"/>
      </w:pPr>
    </w:lvl>
  </w:abstractNum>
  <w:abstractNum w:abstractNumId="38" w15:restartNumberingAfterBreak="0">
    <w:nsid w:val="498D6C3F"/>
    <w:multiLevelType w:val="hybridMultilevel"/>
    <w:tmpl w:val="0074C0F6"/>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4AF146D9"/>
    <w:multiLevelType w:val="singleLevel"/>
    <w:tmpl w:val="A5263C42"/>
    <w:lvl w:ilvl="0">
      <w:start w:val="1"/>
      <w:numFmt w:val="lowerLetter"/>
      <w:lvlText w:val="%1)"/>
      <w:legacy w:legacy="1" w:legacySpace="0" w:legacyIndent="283"/>
      <w:lvlJc w:val="left"/>
      <w:pPr>
        <w:ind w:left="283" w:hanging="283"/>
      </w:pPr>
    </w:lvl>
  </w:abstractNum>
  <w:abstractNum w:abstractNumId="40" w15:restartNumberingAfterBreak="0">
    <w:nsid w:val="50936858"/>
    <w:multiLevelType w:val="multilevel"/>
    <w:tmpl w:val="6CA46136"/>
    <w:lvl w:ilvl="0">
      <w:start w:val="2"/>
      <w:numFmt w:val="decimal"/>
      <w:lvlText w:val="%1."/>
      <w:lvlJc w:val="left"/>
      <w:pPr>
        <w:tabs>
          <w:tab w:val="num" w:pos="540"/>
        </w:tabs>
        <w:ind w:left="540" w:hanging="540"/>
      </w:pPr>
      <w:rPr>
        <w:b/>
      </w:rPr>
    </w:lvl>
    <w:lvl w:ilvl="1">
      <w:start w:val="2"/>
      <w:numFmt w:val="decimal"/>
      <w:lvlText w:val="%1.%2."/>
      <w:lvlJc w:val="left"/>
      <w:pPr>
        <w:tabs>
          <w:tab w:val="num" w:pos="540"/>
        </w:tabs>
        <w:ind w:left="540" w:hanging="540"/>
      </w:pPr>
      <w:rPr>
        <w:b/>
      </w:rPr>
    </w:lvl>
    <w:lvl w:ilvl="2">
      <w:start w:val="7"/>
      <w:numFmt w:val="decimal"/>
      <w:lvlText w:val="%1.%2.%3."/>
      <w:lvlJc w:val="left"/>
      <w:pPr>
        <w:tabs>
          <w:tab w:val="num" w:pos="720"/>
        </w:tabs>
        <w:ind w:left="720" w:hanging="720"/>
      </w:pPr>
      <w:rPr>
        <w:b/>
      </w:rPr>
    </w:lvl>
    <w:lvl w:ilvl="3">
      <w:start w:val="1"/>
      <w:numFmt w:val="decimalZero"/>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41" w15:restartNumberingAfterBreak="0">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42" w15:restartNumberingAfterBreak="0">
    <w:nsid w:val="56D0235A"/>
    <w:multiLevelType w:val="hybridMultilevel"/>
    <w:tmpl w:val="D8CEDD3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ADA338A"/>
    <w:multiLevelType w:val="singleLevel"/>
    <w:tmpl w:val="F72C116C"/>
    <w:lvl w:ilvl="0">
      <w:start w:val="14"/>
      <w:numFmt w:val="decimal"/>
      <w:lvlText w:val="%1."/>
      <w:legacy w:legacy="1" w:legacySpace="0" w:legacyIndent="283"/>
      <w:lvlJc w:val="left"/>
      <w:pPr>
        <w:ind w:left="283" w:hanging="283"/>
      </w:pPr>
    </w:lvl>
  </w:abstractNum>
  <w:abstractNum w:abstractNumId="44" w15:restartNumberingAfterBreak="0">
    <w:nsid w:val="5D1D676B"/>
    <w:multiLevelType w:val="hybridMultilevel"/>
    <w:tmpl w:val="89CE31D2"/>
    <w:lvl w:ilvl="0" w:tplc="F6641092">
      <w:start w:val="1"/>
      <w:numFmt w:val="lowerLetter"/>
      <w:lvlText w:val="%1)"/>
      <w:legacy w:legacy="1" w:legacySpace="0" w:legacyIndent="283"/>
      <w:lvlJc w:val="left"/>
      <w:pPr>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0306455"/>
    <w:multiLevelType w:val="singleLevel"/>
    <w:tmpl w:val="A5263C42"/>
    <w:lvl w:ilvl="0">
      <w:start w:val="1"/>
      <w:numFmt w:val="lowerLetter"/>
      <w:lvlText w:val="%1)"/>
      <w:legacy w:legacy="1" w:legacySpace="0" w:legacyIndent="283"/>
      <w:lvlJc w:val="left"/>
      <w:pPr>
        <w:ind w:left="283" w:hanging="283"/>
      </w:pPr>
    </w:lvl>
  </w:abstractNum>
  <w:abstractNum w:abstractNumId="46"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47" w15:restartNumberingAfterBreak="0">
    <w:nsid w:val="61647876"/>
    <w:multiLevelType w:val="singleLevel"/>
    <w:tmpl w:val="A5263C42"/>
    <w:lvl w:ilvl="0">
      <w:start w:val="1"/>
      <w:numFmt w:val="lowerLetter"/>
      <w:lvlText w:val="%1)"/>
      <w:legacy w:legacy="1" w:legacySpace="0" w:legacyIndent="283"/>
      <w:lvlJc w:val="left"/>
      <w:pPr>
        <w:ind w:left="283" w:hanging="283"/>
      </w:pPr>
    </w:lvl>
  </w:abstractNum>
  <w:abstractNum w:abstractNumId="48" w15:restartNumberingAfterBreak="0">
    <w:nsid w:val="63BB3E14"/>
    <w:multiLevelType w:val="hybridMultilevel"/>
    <w:tmpl w:val="9076846C"/>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451323D"/>
    <w:multiLevelType w:val="hybridMultilevel"/>
    <w:tmpl w:val="3B941068"/>
    <w:lvl w:ilvl="0" w:tplc="93CEEE86">
      <w:start w:val="79"/>
      <w:numFmt w:val="decimal"/>
      <w:lvlText w:val="%1."/>
      <w:lvlJc w:val="left"/>
      <w:pPr>
        <w:ind w:left="1004"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9A104FC"/>
    <w:multiLevelType w:val="singleLevel"/>
    <w:tmpl w:val="ABB82210"/>
    <w:lvl w:ilvl="0">
      <w:start w:val="1"/>
      <w:numFmt w:val="lowerLetter"/>
      <w:lvlText w:val="%1)"/>
      <w:legacy w:legacy="1" w:legacySpace="0" w:legacyIndent="283"/>
      <w:lvlJc w:val="left"/>
      <w:pPr>
        <w:ind w:left="991" w:hanging="283"/>
      </w:pPr>
    </w:lvl>
  </w:abstractNum>
  <w:abstractNum w:abstractNumId="51" w15:restartNumberingAfterBreak="0">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53"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54" w15:restartNumberingAfterBreak="0">
    <w:nsid w:val="6B6E2E14"/>
    <w:multiLevelType w:val="hybridMultilevel"/>
    <w:tmpl w:val="FECEBD6E"/>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15:restartNumberingAfterBreak="0">
    <w:nsid w:val="6C1A7407"/>
    <w:multiLevelType w:val="hybridMultilevel"/>
    <w:tmpl w:val="19A4F5FA"/>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730714B4"/>
    <w:multiLevelType w:val="hybridMultilevel"/>
    <w:tmpl w:val="09D6CB4C"/>
    <w:lvl w:ilvl="0" w:tplc="FB92B688">
      <w:start w:val="1"/>
      <w:numFmt w:val="bullet"/>
      <w:lvlText w:val="–"/>
      <w:lvlJc w:val="left"/>
      <w:pPr>
        <w:tabs>
          <w:tab w:val="num" w:pos="340"/>
        </w:tabs>
        <w:ind w:left="340" w:hanging="340"/>
      </w:pPr>
      <w:rPr>
        <w:rFonts w:ascii="Times New Roman" w:hAnsi="Times New Roman" w:cs="Times New Roman" w:hint="default"/>
      </w:rPr>
    </w:lvl>
    <w:lvl w:ilvl="1" w:tplc="93522834">
      <w:start w:val="1"/>
      <w:numFmt w:val="lowerLetter"/>
      <w:lvlText w:val="%2)"/>
      <w:lvlJc w:val="left"/>
      <w:pPr>
        <w:tabs>
          <w:tab w:val="num" w:pos="1477"/>
        </w:tabs>
        <w:ind w:left="1477" w:hanging="397"/>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739602F6"/>
    <w:multiLevelType w:val="singleLevel"/>
    <w:tmpl w:val="AFBE8F0C"/>
    <w:lvl w:ilvl="0">
      <w:start w:val="1"/>
      <w:numFmt w:val="decimal"/>
      <w:lvlText w:val="%1."/>
      <w:legacy w:legacy="1" w:legacySpace="0" w:legacyIndent="283"/>
      <w:lvlJc w:val="left"/>
      <w:pPr>
        <w:ind w:left="283" w:hanging="283"/>
      </w:pPr>
    </w:lvl>
  </w:abstractNum>
  <w:abstractNum w:abstractNumId="58" w15:restartNumberingAfterBreak="0">
    <w:nsid w:val="73D32BA5"/>
    <w:multiLevelType w:val="hybridMultilevel"/>
    <w:tmpl w:val="26D655BA"/>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0" w15:restartNumberingAfterBreak="0">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76A86AFA"/>
    <w:multiLevelType w:val="singleLevel"/>
    <w:tmpl w:val="359E7B10"/>
    <w:lvl w:ilvl="0">
      <w:start w:val="43"/>
      <w:numFmt w:val="decimal"/>
      <w:lvlText w:val="%1."/>
      <w:legacy w:legacy="1" w:legacySpace="0" w:legacyIndent="283"/>
      <w:lvlJc w:val="left"/>
      <w:pPr>
        <w:ind w:left="283" w:hanging="283"/>
      </w:pPr>
    </w:lvl>
  </w:abstractNum>
  <w:abstractNum w:abstractNumId="62" w15:restartNumberingAfterBreak="0">
    <w:nsid w:val="78AA6AD8"/>
    <w:multiLevelType w:val="hybridMultilevel"/>
    <w:tmpl w:val="4F42FAD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7AB374BE"/>
    <w:multiLevelType w:val="hybridMultilevel"/>
    <w:tmpl w:val="F7367868"/>
    <w:lvl w:ilvl="0" w:tplc="56241CB6">
      <w:start w:val="25"/>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num>
  <w:num w:numId="15">
    <w:abstractNumId w:val="17"/>
    <w:lvlOverride w:ilvl="0">
      <w:startOverride w:val="10"/>
    </w:lvlOverride>
  </w:num>
  <w:num w:numId="16">
    <w:abstractNumId w:val="17"/>
    <w:lvlOverride w:ilvl="0">
      <w:lvl w:ilvl="0">
        <w:start w:val="10"/>
        <w:numFmt w:val="decimal"/>
        <w:lvlText w:val="%1."/>
        <w:legacy w:legacy="1" w:legacySpace="0" w:legacyIndent="397"/>
        <w:lvlJc w:val="left"/>
        <w:pPr>
          <w:ind w:left="397" w:hanging="397"/>
        </w:pPr>
      </w:lvl>
    </w:lvlOverride>
  </w:num>
  <w:num w:numId="17">
    <w:abstractNumId w:val="37"/>
    <w:lvlOverride w:ilvl="0">
      <w:startOverride w:val="4"/>
    </w:lvlOverride>
  </w:num>
  <w:num w:numId="18">
    <w:abstractNumId w:val="0"/>
  </w:num>
  <w:num w:numId="19">
    <w:abstractNumId w:val="49"/>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20"/>
    <w:lvlOverride w:ilvl="0">
      <w:startOverride w:val="2"/>
    </w:lvlOverride>
  </w:num>
  <w:num w:numId="25">
    <w:abstractNumId w:val="52"/>
    <w:lvlOverride w:ilvl="0">
      <w:startOverride w:val="5"/>
    </w:lvlOverride>
  </w:num>
  <w:num w:numId="26">
    <w:abstractNumId w:val="52"/>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7">
    <w:abstractNumId w:val="45"/>
    <w:lvlOverride w:ilvl="0">
      <w:startOverride w:val="1"/>
    </w:lvlOverride>
  </w:num>
  <w:num w:numId="28">
    <w:abstractNumId w:val="1"/>
    <w:lvlOverride w:ilvl="0">
      <w:lvl w:ilvl="0">
        <w:numFmt w:val="bullet"/>
        <w:lvlText w:val="-"/>
        <w:legacy w:legacy="1" w:legacySpace="0" w:legacyIndent="283"/>
        <w:lvlJc w:val="left"/>
        <w:pPr>
          <w:ind w:left="0" w:firstLine="0"/>
        </w:pPr>
        <w:rPr>
          <w:rFonts w:ascii="Bookman Old Style" w:hAnsi="Bookman Old Style" w:hint="default"/>
          <w:sz w:val="24"/>
        </w:rPr>
      </w:lvl>
    </w:lvlOverride>
  </w:num>
  <w:num w:numId="29">
    <w:abstractNumId w:val="13"/>
    <w:lvlOverride w:ilvl="0">
      <w:startOverride w:val="8"/>
    </w:lvlOverride>
  </w:num>
  <w:num w:numId="30">
    <w:abstractNumId w:val="4"/>
    <w:lvlOverride w:ilvl="0">
      <w:startOverride w:val="9"/>
    </w:lvlOverride>
  </w:num>
  <w:num w:numId="31">
    <w:abstractNumId w:val="39"/>
    <w:lvlOverride w:ilvl="0">
      <w:startOverride w:val="1"/>
    </w:lvlOverride>
  </w:num>
  <w:num w:numId="32">
    <w:abstractNumId w:val="35"/>
    <w:lvlOverride w:ilvl="0">
      <w:startOverride w:val="1"/>
    </w:lvlOverride>
  </w:num>
  <w:num w:numId="33">
    <w:abstractNumId w:val="47"/>
    <w:lvlOverride w:ilvl="0">
      <w:startOverride w:val="1"/>
    </w:lvlOverride>
  </w:num>
  <w:num w:numId="34">
    <w:abstractNumId w:val="1"/>
    <w:lvlOverride w:ilvl="0">
      <w:lvl w:ilvl="0">
        <w:numFmt w:val="bullet"/>
        <w:lvlText w:val=""/>
        <w:legacy w:legacy="1" w:legacySpace="0" w:legacyIndent="283"/>
        <w:lvlJc w:val="left"/>
        <w:pPr>
          <w:ind w:left="283" w:hanging="283"/>
        </w:pPr>
        <w:rPr>
          <w:rFonts w:ascii="Symbol" w:hAnsi="Symbol" w:hint="default"/>
          <w:sz w:val="24"/>
        </w:rPr>
      </w:lvl>
    </w:lvlOverride>
  </w:num>
  <w:num w:numId="35">
    <w:abstractNumId w:val="43"/>
    <w:lvlOverride w:ilvl="0">
      <w:startOverride w:val="14"/>
    </w:lvlOverride>
  </w:num>
  <w:num w:numId="36">
    <w:abstractNumId w:val="16"/>
    <w:lvlOverride w:ilvl="0">
      <w:startOverride w:val="1"/>
    </w:lvlOverride>
  </w:num>
  <w:num w:numId="37">
    <w:abstractNumId w:val="5"/>
    <w:lvlOverride w:ilvl="0">
      <w:startOverride w:val="1"/>
    </w:lvlOverride>
  </w:num>
  <w:num w:numId="38">
    <w:abstractNumId w:val="7"/>
    <w:lvlOverride w:ilvl="0">
      <w:startOverride w:val="2"/>
    </w:lvlOverride>
  </w:num>
  <w:num w:numId="39">
    <w:abstractNumId w:val="8"/>
    <w:lvlOverride w:ilvl="0">
      <w:startOverride w:val="1"/>
    </w:lvlOverride>
  </w:num>
  <w:num w:numId="40">
    <w:abstractNumId w:val="46"/>
    <w:lvlOverride w:ilvl="0">
      <w:startOverride w:val="1"/>
    </w:lvlOverride>
  </w:num>
  <w:num w:numId="41">
    <w:abstractNumId w:val="22"/>
    <w:lvlOverride w:ilvl="0">
      <w:startOverride w:val="1"/>
    </w:lvlOverride>
  </w:num>
  <w:num w:numId="42">
    <w:abstractNumId w:val="31"/>
    <w:lvlOverride w:ilvl="0">
      <w:startOverride w:val="1"/>
    </w:lvlOverride>
  </w:num>
  <w:num w:numId="43">
    <w:abstractNumId w:val="19"/>
    <w:lvlOverride w:ilvl="0">
      <w:startOverride w:val="1"/>
    </w:lvlOverride>
  </w:num>
  <w:num w:numId="44">
    <w:abstractNumId w:val="30"/>
    <w:lvlOverride w:ilvl="0">
      <w:startOverride w:val="1"/>
    </w:lvlOverride>
  </w:num>
  <w:num w:numId="45">
    <w:abstractNumId w:val="33"/>
    <w:lvlOverride w:ilvl="0">
      <w:startOverride w:val="1"/>
    </w:lvlOverride>
  </w:num>
  <w:num w:numId="46">
    <w:abstractNumId w:val="64"/>
    <w:lvlOverride w:ilvl="0">
      <w:startOverride w:val="1"/>
    </w:lvlOverride>
  </w:num>
  <w:num w:numId="47">
    <w:abstractNumId w:val="53"/>
    <w:lvlOverride w:ilvl="0">
      <w:startOverride w:val="1"/>
    </w:lvlOverride>
  </w:num>
  <w:num w:numId="48">
    <w:abstractNumId w:val="15"/>
    <w:lvlOverride w:ilvl="0">
      <w:startOverride w:val="1"/>
    </w:lvlOverride>
  </w:num>
  <w:num w:numId="49">
    <w:abstractNumId w:val="28"/>
    <w:lvlOverride w:ilvl="0">
      <w:startOverride w:val="1"/>
    </w:lvlOverride>
  </w:num>
  <w:num w:numId="50">
    <w:abstractNumId w:val="57"/>
    <w:lvlOverride w:ilvl="0">
      <w:startOverride w:val="1"/>
    </w:lvlOverride>
  </w:num>
  <w:num w:numId="51">
    <w:abstractNumId w:val="34"/>
  </w:num>
  <w:num w:numId="52">
    <w:abstractNumId w:val="14"/>
  </w:num>
  <w:num w:numId="53">
    <w:abstractNumId w:val="2"/>
  </w:num>
  <w:num w:numId="54">
    <w:abstractNumId w:val="24"/>
  </w:num>
  <w:num w:numId="55">
    <w:abstractNumId w:val="50"/>
  </w:num>
  <w:num w:numId="56">
    <w:abstractNumId w:val="61"/>
  </w:num>
  <w:num w:numId="5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2D"/>
    <w:rsid w:val="0008741B"/>
    <w:rsid w:val="001347FF"/>
    <w:rsid w:val="001B2C9F"/>
    <w:rsid w:val="001E4C85"/>
    <w:rsid w:val="001E5BAB"/>
    <w:rsid w:val="00223CE1"/>
    <w:rsid w:val="002D0D6C"/>
    <w:rsid w:val="003D060F"/>
    <w:rsid w:val="003E5210"/>
    <w:rsid w:val="003E6361"/>
    <w:rsid w:val="00456B7F"/>
    <w:rsid w:val="00642808"/>
    <w:rsid w:val="00752DE4"/>
    <w:rsid w:val="008F6752"/>
    <w:rsid w:val="009D60ED"/>
    <w:rsid w:val="009E3D7E"/>
    <w:rsid w:val="00A60DBC"/>
    <w:rsid w:val="00B4292E"/>
    <w:rsid w:val="00B92B47"/>
    <w:rsid w:val="00C753C3"/>
    <w:rsid w:val="00C96A5B"/>
    <w:rsid w:val="00CD292D"/>
    <w:rsid w:val="00D00CDD"/>
    <w:rsid w:val="00E54909"/>
    <w:rsid w:val="00E558D1"/>
    <w:rsid w:val="00E728C5"/>
    <w:rsid w:val="00EA0DB8"/>
    <w:rsid w:val="00F45603"/>
    <w:rsid w:val="00F867E6"/>
    <w:rsid w:val="00FA5265"/>
    <w:rsid w:val="00FD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43615CA-6E33-4766-B8BC-A123FEEF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D292D"/>
    <w:pPr>
      <w:keepNext/>
      <w:keepLines/>
      <w:suppressAutoHyphens/>
      <w:overflowPunct w:val="0"/>
      <w:autoSpaceDE w:val="0"/>
      <w:autoSpaceDN w:val="0"/>
      <w:adjustRightInd w:val="0"/>
      <w:spacing w:before="240" w:after="120" w:line="240" w:lineRule="auto"/>
      <w:jc w:val="both"/>
      <w:outlineLvl w:val="0"/>
    </w:pPr>
    <w:rPr>
      <w:rFonts w:ascii="Times New Roman" w:eastAsiaTheme="minorEastAsia" w:hAnsi="Times New Roman" w:cs="Times New Roman"/>
      <w:b/>
      <w:caps/>
      <w:kern w:val="28"/>
      <w:sz w:val="20"/>
      <w:szCs w:val="20"/>
      <w:lang w:eastAsia="pl-PL"/>
    </w:rPr>
  </w:style>
  <w:style w:type="paragraph" w:styleId="Nagwek2">
    <w:name w:val="heading 2"/>
    <w:basedOn w:val="Normalny"/>
    <w:next w:val="Normalny"/>
    <w:link w:val="Nagwek2Znak"/>
    <w:uiPriority w:val="9"/>
    <w:qFormat/>
    <w:rsid w:val="00CD292D"/>
    <w:pPr>
      <w:keepNext/>
      <w:overflowPunct w:val="0"/>
      <w:autoSpaceDE w:val="0"/>
      <w:autoSpaceDN w:val="0"/>
      <w:adjustRightInd w:val="0"/>
      <w:spacing w:before="120" w:after="120" w:line="240" w:lineRule="auto"/>
      <w:jc w:val="both"/>
      <w:outlineLvl w:val="1"/>
    </w:pPr>
    <w:rPr>
      <w:rFonts w:ascii="Times New Roman" w:eastAsiaTheme="minorEastAsia" w:hAnsi="Times New Roman" w:cs="Times New Roman"/>
      <w:b/>
      <w:sz w:val="20"/>
      <w:szCs w:val="20"/>
      <w:lang w:eastAsia="pl-PL"/>
    </w:rPr>
  </w:style>
  <w:style w:type="paragraph" w:styleId="Nagwek3">
    <w:name w:val="heading 3"/>
    <w:basedOn w:val="Normalny"/>
    <w:link w:val="Nagwek3Znak"/>
    <w:uiPriority w:val="9"/>
    <w:qFormat/>
    <w:rsid w:val="00CD292D"/>
    <w:pPr>
      <w:keepNext/>
      <w:overflowPunct w:val="0"/>
      <w:autoSpaceDE w:val="0"/>
      <w:autoSpaceDN w:val="0"/>
      <w:adjustRightInd w:val="0"/>
      <w:spacing w:before="60" w:after="60" w:line="240" w:lineRule="auto"/>
      <w:jc w:val="both"/>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uiPriority w:val="9"/>
    <w:unhideWhenUsed/>
    <w:qFormat/>
    <w:rsid w:val="00CD29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292D"/>
    <w:rPr>
      <w:rFonts w:ascii="Times New Roman" w:eastAsiaTheme="minorEastAsia"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CD292D"/>
    <w:rPr>
      <w:rFonts w:ascii="Times New Roman" w:eastAsiaTheme="minorEastAsia" w:hAnsi="Times New Roman" w:cs="Times New Roman"/>
      <w:b/>
      <w:sz w:val="20"/>
      <w:szCs w:val="20"/>
      <w:lang w:eastAsia="pl-PL"/>
    </w:rPr>
  </w:style>
  <w:style w:type="character" w:styleId="Hipercze">
    <w:name w:val="Hyperlink"/>
    <w:basedOn w:val="Domylnaczcionkaakapitu"/>
    <w:uiPriority w:val="99"/>
    <w:semiHidden/>
    <w:unhideWhenUsed/>
    <w:rsid w:val="00CD292D"/>
    <w:rPr>
      <w:color w:val="0000FF"/>
      <w:u w:val="single"/>
    </w:rPr>
  </w:style>
  <w:style w:type="paragraph" w:styleId="Spistreci1">
    <w:name w:val="toc 1"/>
    <w:basedOn w:val="Normalny"/>
    <w:next w:val="Normalny"/>
    <w:autoRedefine/>
    <w:uiPriority w:val="39"/>
    <w:semiHidden/>
    <w:unhideWhenUsed/>
    <w:rsid w:val="00CD292D"/>
    <w:pPr>
      <w:tabs>
        <w:tab w:val="right" w:leader="dot" w:pos="7371"/>
      </w:tabs>
      <w:overflowPunct w:val="0"/>
      <w:autoSpaceDE w:val="0"/>
      <w:autoSpaceDN w:val="0"/>
      <w:adjustRightInd w:val="0"/>
      <w:spacing w:before="120" w:after="120" w:line="240" w:lineRule="auto"/>
    </w:pPr>
    <w:rPr>
      <w:rFonts w:ascii="Times New Roman" w:eastAsia="Times New Roman" w:hAnsi="Times New Roman" w:cs="Times New Roman"/>
      <w:b/>
      <w:caps/>
      <w:sz w:val="20"/>
      <w:szCs w:val="20"/>
      <w:lang w:eastAsia="pl-PL"/>
    </w:rPr>
  </w:style>
  <w:style w:type="paragraph" w:customStyle="1" w:styleId="Standardowytekst">
    <w:name w:val="Standardowy.tekst"/>
    <w:rsid w:val="00CD292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rsid w:val="00CD292D"/>
    <w:rPr>
      <w:rFonts w:asciiTheme="majorHAnsi" w:eastAsiaTheme="majorEastAsia" w:hAnsiTheme="majorHAnsi" w:cstheme="majorBidi"/>
      <w:i/>
      <w:iCs/>
      <w:color w:val="2E74B5" w:themeColor="accent1" w:themeShade="BF"/>
    </w:rPr>
  </w:style>
  <w:style w:type="character" w:customStyle="1" w:styleId="Nagwek3Znak">
    <w:name w:val="Nagłówek 3 Znak"/>
    <w:basedOn w:val="Domylnaczcionkaakapitu"/>
    <w:link w:val="Nagwek3"/>
    <w:uiPriority w:val="9"/>
    <w:rsid w:val="00CD292D"/>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CD292D"/>
    <w:rPr>
      <w:color w:val="800080"/>
      <w:u w:val="single"/>
    </w:rPr>
  </w:style>
  <w:style w:type="paragraph" w:styleId="Spistreci2">
    <w:name w:val="toc 2"/>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200"/>
    </w:pPr>
    <w:rPr>
      <w:rFonts w:ascii="Times New Roman" w:eastAsia="Times New Roman" w:hAnsi="Times New Roman" w:cs="Times New Roman"/>
      <w:sz w:val="20"/>
      <w:szCs w:val="20"/>
      <w:lang w:eastAsia="pl-PL"/>
    </w:rPr>
  </w:style>
  <w:style w:type="paragraph" w:styleId="Spistreci3">
    <w:name w:val="toc 3"/>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400"/>
    </w:pPr>
    <w:rPr>
      <w:rFonts w:ascii="Times New Roman" w:eastAsia="Times New Roman" w:hAnsi="Times New Roman" w:cs="Times New Roman"/>
      <w:sz w:val="20"/>
      <w:szCs w:val="20"/>
      <w:lang w:eastAsia="pl-PL"/>
    </w:rPr>
  </w:style>
  <w:style w:type="paragraph" w:styleId="Spistreci4">
    <w:name w:val="toc 4"/>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600"/>
    </w:pPr>
    <w:rPr>
      <w:rFonts w:ascii="Times New Roman" w:eastAsia="Times New Roman" w:hAnsi="Times New Roman" w:cs="Times New Roman"/>
      <w:sz w:val="18"/>
      <w:szCs w:val="20"/>
      <w:lang w:eastAsia="pl-PL"/>
    </w:rPr>
  </w:style>
  <w:style w:type="paragraph" w:styleId="Spistreci5">
    <w:name w:val="toc 5"/>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800"/>
    </w:pPr>
    <w:rPr>
      <w:rFonts w:ascii="Times New Roman" w:eastAsia="Times New Roman" w:hAnsi="Times New Roman" w:cs="Times New Roman"/>
      <w:sz w:val="18"/>
      <w:szCs w:val="20"/>
      <w:lang w:eastAsia="pl-PL"/>
    </w:rPr>
  </w:style>
  <w:style w:type="paragraph" w:styleId="Spistreci6">
    <w:name w:val="toc 6"/>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000"/>
    </w:pPr>
    <w:rPr>
      <w:rFonts w:ascii="Times New Roman" w:eastAsia="Times New Roman" w:hAnsi="Times New Roman" w:cs="Times New Roman"/>
      <w:sz w:val="18"/>
      <w:szCs w:val="20"/>
      <w:lang w:eastAsia="pl-PL"/>
    </w:rPr>
  </w:style>
  <w:style w:type="paragraph" w:styleId="Spistreci7">
    <w:name w:val="toc 7"/>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200"/>
    </w:pPr>
    <w:rPr>
      <w:rFonts w:ascii="Times New Roman" w:eastAsia="Times New Roman" w:hAnsi="Times New Roman" w:cs="Times New Roman"/>
      <w:sz w:val="18"/>
      <w:szCs w:val="20"/>
      <w:lang w:eastAsia="pl-PL"/>
    </w:rPr>
  </w:style>
  <w:style w:type="paragraph" w:styleId="Spistreci8">
    <w:name w:val="toc 8"/>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400"/>
    </w:pPr>
    <w:rPr>
      <w:rFonts w:ascii="Times New Roman" w:eastAsia="Times New Roman" w:hAnsi="Times New Roman" w:cs="Times New Roman"/>
      <w:sz w:val="18"/>
      <w:szCs w:val="20"/>
      <w:lang w:eastAsia="pl-PL"/>
    </w:rPr>
  </w:style>
  <w:style w:type="paragraph" w:styleId="Spistreci9">
    <w:name w:val="toc 9"/>
    <w:basedOn w:val="Normalny"/>
    <w:autoRedefine/>
    <w:uiPriority w:val="39"/>
    <w:semiHidden/>
    <w:unhideWhenUsed/>
    <w:rsid w:val="00CD292D"/>
    <w:pPr>
      <w:tabs>
        <w:tab w:val="right" w:leader="dot" w:pos="7371"/>
      </w:tabs>
      <w:overflowPunct w:val="0"/>
      <w:autoSpaceDE w:val="0"/>
      <w:autoSpaceDN w:val="0"/>
      <w:adjustRightInd w:val="0"/>
      <w:spacing w:after="0" w:line="240" w:lineRule="auto"/>
      <w:ind w:left="1600"/>
    </w:pPr>
    <w:rPr>
      <w:rFonts w:ascii="Times New Roman" w:eastAsia="Times New Roman" w:hAnsi="Times New Roman" w:cs="Times New Roman"/>
      <w:sz w:val="18"/>
      <w:szCs w:val="20"/>
      <w:lang w:eastAsia="pl-PL"/>
    </w:rPr>
  </w:style>
  <w:style w:type="paragraph" w:styleId="Tekstprzypisudolnego">
    <w:name w:val="footnote text"/>
    <w:basedOn w:val="Normalny"/>
    <w:link w:val="TekstprzypisudolnegoZnak"/>
    <w:uiPriority w:val="99"/>
    <w:semiHidden/>
    <w:unhideWhenUsed/>
    <w:rsid w:val="00CD292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D292D"/>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D292D"/>
    <w:pPr>
      <w:tabs>
        <w:tab w:val="center" w:pos="4536"/>
        <w:tab w:val="right" w:pos="9072"/>
      </w:tabs>
      <w:overflowPunct w:val="0"/>
      <w:autoSpaceDE w:val="0"/>
      <w:autoSpaceDN w:val="0"/>
      <w:adjustRightInd w:val="0"/>
      <w:spacing w:after="0" w:line="240" w:lineRule="auto"/>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uiPriority w:val="99"/>
    <w:rsid w:val="00CD292D"/>
    <w:rPr>
      <w:rFonts w:ascii="Century Gothic" w:eastAsia="Times New Roman" w:hAnsi="Century Gothic" w:cs="Times New Roman"/>
      <w:sz w:val="24"/>
      <w:szCs w:val="20"/>
      <w:lang w:eastAsia="pl-PL"/>
    </w:rPr>
  </w:style>
  <w:style w:type="paragraph" w:styleId="Stopka">
    <w:name w:val="footer"/>
    <w:basedOn w:val="Normalny"/>
    <w:link w:val="StopkaZnak"/>
    <w:uiPriority w:val="99"/>
    <w:unhideWhenUsed/>
    <w:rsid w:val="00CD292D"/>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D292D"/>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CD292D"/>
    <w:pPr>
      <w:overflowPunct w:val="0"/>
      <w:autoSpaceDE w:val="0"/>
      <w:autoSpaceDN w:val="0"/>
      <w:adjustRightInd w:val="0"/>
      <w:spacing w:after="0" w:line="180" w:lineRule="atLeast"/>
    </w:pPr>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rsid w:val="00CD292D"/>
    <w:rPr>
      <w:rFonts w:ascii="Times New Roman" w:eastAsia="Times New Roman" w:hAnsi="Times New Roman" w:cs="Times New Roman"/>
      <w:sz w:val="16"/>
      <w:szCs w:val="20"/>
      <w:lang w:eastAsia="pl-PL"/>
    </w:rPr>
  </w:style>
  <w:style w:type="paragraph" w:customStyle="1" w:styleId="StylIwony">
    <w:name w:val="Styl Iwony"/>
    <w:basedOn w:val="Normalny"/>
    <w:rsid w:val="00CD292D"/>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ost">
    <w:name w:val="tekst ost"/>
    <w:basedOn w:val="Normalny"/>
    <w:rsid w:val="00CD292D"/>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D292D"/>
    <w:pPr>
      <w:pBdr>
        <w:top w:val="single" w:sz="6" w:space="1" w:color="auto"/>
        <w:bottom w:val="single" w:sz="6" w:space="1" w:color="auto"/>
      </w:pBdr>
      <w:overflowPunct w:val="0"/>
      <w:autoSpaceDE w:val="0"/>
      <w:autoSpaceDN w:val="0"/>
      <w:adjustRightInd w:val="0"/>
      <w:spacing w:after="0" w:line="180" w:lineRule="atLeast"/>
    </w:pPr>
    <w:rPr>
      <w:rFonts w:ascii="Times New Roman" w:eastAsia="Times New Roman" w:hAnsi="Times New Roman" w:cs="Times New Roman"/>
      <w:sz w:val="16"/>
      <w:szCs w:val="20"/>
      <w:lang w:eastAsia="pl-PL"/>
    </w:rPr>
  </w:style>
  <w:style w:type="character" w:styleId="Odwoanieprzypisudolnego">
    <w:name w:val="footnote reference"/>
    <w:basedOn w:val="Domylnaczcionkaakapitu"/>
    <w:uiPriority w:val="99"/>
    <w:semiHidden/>
    <w:unhideWhenUsed/>
    <w:rsid w:val="00CD292D"/>
    <w:rPr>
      <w:vertAlign w:val="superscript"/>
    </w:rPr>
  </w:style>
  <w:style w:type="paragraph" w:styleId="Wcicienormalne">
    <w:name w:val="Normal Indent"/>
    <w:basedOn w:val="Normalny"/>
    <w:uiPriority w:val="99"/>
    <w:semiHidden/>
    <w:unhideWhenUsed/>
    <w:rsid w:val="00CD292D"/>
    <w:pPr>
      <w:spacing w:before="120" w:after="120" w:line="240" w:lineRule="auto"/>
      <w:ind w:left="720"/>
      <w:jc w:val="both"/>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semiHidden/>
    <w:unhideWhenUsed/>
    <w:rsid w:val="00CD292D"/>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D292D"/>
    <w:rPr>
      <w:rFonts w:ascii="Times New Roman" w:eastAsiaTheme="minorEastAsia" w:hAnsi="Times New Roman" w:cs="Times New Roman"/>
      <w:sz w:val="20"/>
      <w:szCs w:val="20"/>
      <w:lang w:eastAsia="pl-PL"/>
    </w:rPr>
  </w:style>
  <w:style w:type="paragraph" w:styleId="Listapunktowana">
    <w:name w:val="List Bullet"/>
    <w:basedOn w:val="Normalny"/>
    <w:uiPriority w:val="99"/>
    <w:semiHidden/>
    <w:unhideWhenUsed/>
    <w:rsid w:val="00CD292D"/>
    <w:pPr>
      <w:numPr>
        <w:numId w:val="18"/>
      </w:numPr>
      <w:tabs>
        <w:tab w:val="clear" w:pos="360"/>
      </w:tabs>
      <w:spacing w:after="0" w:line="360" w:lineRule="auto"/>
    </w:pPr>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D292D"/>
    <w:pPr>
      <w:spacing w:after="0" w:line="360" w:lineRule="auto"/>
      <w:ind w:left="1418" w:hanging="1418"/>
    </w:pPr>
    <w:rPr>
      <w:rFonts w:ascii="Times New Roman" w:eastAsiaTheme="minorEastAsia" w:hAnsi="Times New Roman" w:cs="Times New Roman"/>
      <w:b/>
      <w:bCs/>
      <w:sz w:val="24"/>
      <w:szCs w:val="24"/>
      <w:lang w:eastAsia="pl-PL"/>
    </w:rPr>
  </w:style>
  <w:style w:type="character" w:customStyle="1" w:styleId="TekstpodstawowywcityZnak">
    <w:name w:val="Tekst podstawowy wcięty Znak"/>
    <w:basedOn w:val="Domylnaczcionkaakapitu"/>
    <w:link w:val="Tekstpodstawowywcity"/>
    <w:uiPriority w:val="99"/>
    <w:semiHidden/>
    <w:rsid w:val="00CD292D"/>
    <w:rPr>
      <w:rFonts w:ascii="Times New Roman" w:eastAsiaTheme="minorEastAsia" w:hAnsi="Times New Roman" w:cs="Times New Roman"/>
      <w:b/>
      <w:bCs/>
      <w:sz w:val="24"/>
      <w:szCs w:val="24"/>
      <w:lang w:eastAsia="pl-PL"/>
    </w:rPr>
  </w:style>
  <w:style w:type="paragraph" w:styleId="Tekstpodstawowy2">
    <w:name w:val="Body Text 2"/>
    <w:basedOn w:val="Normalny"/>
    <w:link w:val="Tekstpodstawowy2Znak"/>
    <w:uiPriority w:val="99"/>
    <w:semiHidden/>
    <w:unhideWhenUsed/>
    <w:rsid w:val="00CD292D"/>
    <w:pPr>
      <w:overflowPunct w:val="0"/>
      <w:autoSpaceDE w:val="0"/>
      <w:autoSpaceDN w:val="0"/>
      <w:spacing w:after="120" w:line="480" w:lineRule="auto"/>
      <w:jc w:val="both"/>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CD292D"/>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D292D"/>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CD292D"/>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CD292D"/>
    <w:pPr>
      <w:overflowPunct w:val="0"/>
      <w:autoSpaceDE w:val="0"/>
      <w:autoSpaceDN w:val="0"/>
      <w:spacing w:after="120" w:line="480" w:lineRule="auto"/>
      <w:ind w:left="283"/>
      <w:jc w:val="both"/>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CD292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D292D"/>
    <w:pPr>
      <w:spacing w:before="60" w:after="0" w:line="240" w:lineRule="auto"/>
      <w:jc w:val="both"/>
    </w:pPr>
    <w:rPr>
      <w:rFonts w:ascii="Times New Roman" w:eastAsiaTheme="minorEastAsia"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CD292D"/>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CD292D"/>
    <w:pPr>
      <w:overflowPunct w:val="0"/>
      <w:autoSpaceDE w:val="0"/>
      <w:autoSpaceDN w:val="0"/>
      <w:spacing w:after="0" w:line="240" w:lineRule="auto"/>
      <w:jc w:val="both"/>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CD292D"/>
    <w:rPr>
      <w:rFonts w:ascii="Tahoma" w:eastAsiaTheme="minorEastAsia" w:hAnsi="Tahoma" w:cs="Tahoma"/>
      <w:sz w:val="16"/>
      <w:szCs w:val="16"/>
      <w:lang w:eastAsia="pl-PL"/>
    </w:rPr>
  </w:style>
  <w:style w:type="paragraph" w:styleId="Akapitzlist">
    <w:name w:val="List Paragraph"/>
    <w:aliases w:val="Colorful List - Accent 11"/>
    <w:basedOn w:val="Normalny"/>
    <w:uiPriority w:val="34"/>
    <w:qFormat/>
    <w:rsid w:val="00CD292D"/>
    <w:pPr>
      <w:spacing w:before="120" w:after="12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first">
    <w:name w:val="msolistparagraphcxspfirst"/>
    <w:basedOn w:val="Normalny"/>
    <w:rsid w:val="00CD292D"/>
    <w:pPr>
      <w:spacing w:before="120"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middle">
    <w:name w:val="msolistparagraphcxspmiddle"/>
    <w:basedOn w:val="Normalny"/>
    <w:rsid w:val="00CD292D"/>
    <w:pPr>
      <w:spacing w:after="0" w:line="240" w:lineRule="auto"/>
      <w:ind w:left="720"/>
      <w:jc w:val="both"/>
    </w:pPr>
    <w:rPr>
      <w:rFonts w:ascii="Times New Roman" w:eastAsiaTheme="minorEastAsia" w:hAnsi="Times New Roman" w:cs="Times New Roman"/>
      <w:sz w:val="24"/>
      <w:szCs w:val="24"/>
      <w:lang w:eastAsia="pl-PL"/>
    </w:rPr>
  </w:style>
  <w:style w:type="paragraph" w:customStyle="1" w:styleId="msolistparagraphcxsplast">
    <w:name w:val="msolistparagraphcxsplast"/>
    <w:basedOn w:val="Normalny"/>
    <w:rsid w:val="00CD292D"/>
    <w:pPr>
      <w:spacing w:after="120" w:line="240" w:lineRule="auto"/>
      <w:ind w:left="720"/>
      <w:jc w:val="both"/>
    </w:pPr>
    <w:rPr>
      <w:rFonts w:ascii="Times New Roman" w:eastAsiaTheme="minorEastAsia" w:hAnsi="Times New Roman" w:cs="Times New Roman"/>
      <w:sz w:val="24"/>
      <w:szCs w:val="24"/>
      <w:lang w:eastAsia="pl-PL"/>
    </w:rPr>
  </w:style>
  <w:style w:type="paragraph" w:customStyle="1" w:styleId="10">
    <w:name w:val="_10"/>
    <w:basedOn w:val="Normalny"/>
    <w:rsid w:val="00CD292D"/>
    <w:pPr>
      <w:spacing w:after="0" w:line="240" w:lineRule="auto"/>
      <w:jc w:val="both"/>
    </w:pPr>
    <w:rPr>
      <w:rFonts w:ascii="Times New Roman" w:eastAsiaTheme="minorEastAsia" w:hAnsi="Times New Roman" w:cs="Times New Roman"/>
      <w:sz w:val="24"/>
      <w:szCs w:val="24"/>
      <w:lang w:eastAsia="pl-PL"/>
    </w:rPr>
  </w:style>
  <w:style w:type="paragraph" w:customStyle="1" w:styleId="Styl12ptWyjustowany">
    <w:name w:val="Styl 12 pt Wyjustowany"/>
    <w:basedOn w:val="Normalny"/>
    <w:rsid w:val="00CD292D"/>
    <w:pPr>
      <w:spacing w:after="0" w:line="240" w:lineRule="auto"/>
      <w:jc w:val="both"/>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CD292D"/>
    <w:rPr>
      <w:vertAlign w:val="superscript"/>
    </w:rPr>
  </w:style>
  <w:style w:type="character" w:customStyle="1" w:styleId="value">
    <w:name w:val="value"/>
    <w:basedOn w:val="Domylnaczcionkaakapitu"/>
    <w:rsid w:val="00CD292D"/>
  </w:style>
  <w:style w:type="character" w:styleId="Numerstrony">
    <w:name w:val="page number"/>
    <w:basedOn w:val="Domylnaczcionkaakapitu"/>
    <w:rsid w:val="00F45603"/>
  </w:style>
  <w:style w:type="character" w:customStyle="1" w:styleId="BezodstpwZnak">
    <w:name w:val="Bez odstępów Znak"/>
    <w:basedOn w:val="Domylnaczcionkaakapitu"/>
    <w:link w:val="Bezodstpw"/>
    <w:locked/>
    <w:rsid w:val="00F45603"/>
    <w:rPr>
      <w:rFonts w:ascii="Calibri" w:eastAsia="Calibri" w:hAnsi="Calibri" w:cs="Calibri"/>
      <w:sz w:val="24"/>
      <w:szCs w:val="24"/>
    </w:rPr>
  </w:style>
  <w:style w:type="paragraph" w:styleId="Bezodstpw">
    <w:name w:val="No Spacing"/>
    <w:basedOn w:val="Normalny"/>
    <w:link w:val="BezodstpwZnak"/>
    <w:qFormat/>
    <w:rsid w:val="00F45603"/>
    <w:pPr>
      <w:spacing w:after="0" w:line="240" w:lineRule="auto"/>
      <w:ind w:firstLine="697"/>
      <w:jc w:val="both"/>
    </w:pPr>
    <w:rPr>
      <w:rFonts w:ascii="Calibri" w:eastAsia="Calibri" w:hAnsi="Calibri" w:cs="Calibri"/>
      <w:sz w:val="24"/>
      <w:szCs w:val="24"/>
    </w:rPr>
  </w:style>
  <w:style w:type="table" w:styleId="Tabela-Siatka">
    <w:name w:val="Table Grid"/>
    <w:basedOn w:val="Standardowy"/>
    <w:rsid w:val="00F4560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7145">
      <w:bodyDiv w:val="1"/>
      <w:marLeft w:val="0"/>
      <w:marRight w:val="0"/>
      <w:marTop w:val="0"/>
      <w:marBottom w:val="0"/>
      <w:divBdr>
        <w:top w:val="none" w:sz="0" w:space="0" w:color="auto"/>
        <w:left w:val="none" w:sz="0" w:space="0" w:color="auto"/>
        <w:bottom w:val="none" w:sz="0" w:space="0" w:color="auto"/>
        <w:right w:val="none" w:sz="0" w:space="0" w:color="auto"/>
      </w:divBdr>
      <w:divsChild>
        <w:div w:id="2133863477">
          <w:marLeft w:val="0"/>
          <w:marRight w:val="0"/>
          <w:marTop w:val="0"/>
          <w:marBottom w:val="0"/>
          <w:divBdr>
            <w:top w:val="none" w:sz="0" w:space="0" w:color="auto"/>
            <w:left w:val="none" w:sz="0" w:space="0" w:color="auto"/>
            <w:bottom w:val="single" w:sz="8" w:space="1" w:color="auto"/>
            <w:right w:val="none" w:sz="0" w:space="0" w:color="auto"/>
          </w:divBdr>
        </w:div>
        <w:div w:id="1975134661">
          <w:marLeft w:val="0"/>
          <w:marRight w:val="0"/>
          <w:marTop w:val="0"/>
          <w:marBottom w:val="0"/>
          <w:divBdr>
            <w:top w:val="single" w:sz="8" w:space="1" w:color="auto"/>
            <w:left w:val="none" w:sz="0" w:space="0" w:color="auto"/>
            <w:bottom w:val="none" w:sz="0" w:space="0" w:color="auto"/>
            <w:right w:val="none" w:sz="0" w:space="0" w:color="auto"/>
          </w:divBdr>
        </w:div>
        <w:div w:id="5057058">
          <w:marLeft w:val="0"/>
          <w:marRight w:val="0"/>
          <w:marTop w:val="0"/>
          <w:marBottom w:val="0"/>
          <w:divBdr>
            <w:top w:val="none" w:sz="0" w:space="0" w:color="auto"/>
            <w:left w:val="none" w:sz="0" w:space="0" w:color="auto"/>
            <w:bottom w:val="single" w:sz="8" w:space="1" w:color="auto"/>
            <w:right w:val="none" w:sz="0" w:space="0" w:color="auto"/>
          </w:divBdr>
        </w:div>
      </w:divsChild>
    </w:div>
    <w:div w:id="199167673">
      <w:bodyDiv w:val="1"/>
      <w:marLeft w:val="0"/>
      <w:marRight w:val="0"/>
      <w:marTop w:val="0"/>
      <w:marBottom w:val="0"/>
      <w:divBdr>
        <w:top w:val="none" w:sz="0" w:space="0" w:color="auto"/>
        <w:left w:val="none" w:sz="0" w:space="0" w:color="auto"/>
        <w:bottom w:val="none" w:sz="0" w:space="0" w:color="auto"/>
        <w:right w:val="none" w:sz="0" w:space="0" w:color="auto"/>
      </w:divBdr>
      <w:divsChild>
        <w:div w:id="1509057580">
          <w:marLeft w:val="0"/>
          <w:marRight w:val="0"/>
          <w:marTop w:val="0"/>
          <w:marBottom w:val="0"/>
          <w:divBdr>
            <w:top w:val="none" w:sz="0" w:space="0" w:color="auto"/>
            <w:left w:val="none" w:sz="0" w:space="0" w:color="auto"/>
            <w:bottom w:val="single" w:sz="8" w:space="1" w:color="auto"/>
            <w:right w:val="none" w:sz="0" w:space="0" w:color="auto"/>
          </w:divBdr>
        </w:div>
        <w:div w:id="588317537">
          <w:marLeft w:val="0"/>
          <w:marRight w:val="0"/>
          <w:marTop w:val="0"/>
          <w:marBottom w:val="0"/>
          <w:divBdr>
            <w:top w:val="single" w:sz="8" w:space="1" w:color="auto"/>
            <w:left w:val="none" w:sz="0" w:space="0" w:color="auto"/>
            <w:bottom w:val="none" w:sz="0" w:space="0" w:color="auto"/>
            <w:right w:val="none" w:sz="0" w:space="0" w:color="auto"/>
          </w:divBdr>
        </w:div>
        <w:div w:id="804930275">
          <w:marLeft w:val="0"/>
          <w:marRight w:val="0"/>
          <w:marTop w:val="0"/>
          <w:marBottom w:val="0"/>
          <w:divBdr>
            <w:top w:val="none" w:sz="0" w:space="0" w:color="auto"/>
            <w:left w:val="none" w:sz="0" w:space="0" w:color="auto"/>
            <w:bottom w:val="single" w:sz="8" w:space="1" w:color="auto"/>
            <w:right w:val="none" w:sz="0" w:space="0" w:color="auto"/>
          </w:divBdr>
        </w:div>
      </w:divsChild>
    </w:div>
    <w:div w:id="219177414">
      <w:bodyDiv w:val="1"/>
      <w:marLeft w:val="0"/>
      <w:marRight w:val="0"/>
      <w:marTop w:val="0"/>
      <w:marBottom w:val="0"/>
      <w:divBdr>
        <w:top w:val="none" w:sz="0" w:space="0" w:color="auto"/>
        <w:left w:val="none" w:sz="0" w:space="0" w:color="auto"/>
        <w:bottom w:val="none" w:sz="0" w:space="0" w:color="auto"/>
        <w:right w:val="none" w:sz="0" w:space="0" w:color="auto"/>
      </w:divBdr>
    </w:div>
    <w:div w:id="417602418">
      <w:bodyDiv w:val="1"/>
      <w:marLeft w:val="0"/>
      <w:marRight w:val="0"/>
      <w:marTop w:val="0"/>
      <w:marBottom w:val="0"/>
      <w:divBdr>
        <w:top w:val="none" w:sz="0" w:space="0" w:color="auto"/>
        <w:left w:val="none" w:sz="0" w:space="0" w:color="auto"/>
        <w:bottom w:val="none" w:sz="0" w:space="0" w:color="auto"/>
        <w:right w:val="none" w:sz="0" w:space="0" w:color="auto"/>
      </w:divBdr>
    </w:div>
    <w:div w:id="681667619">
      <w:bodyDiv w:val="1"/>
      <w:marLeft w:val="0"/>
      <w:marRight w:val="0"/>
      <w:marTop w:val="0"/>
      <w:marBottom w:val="0"/>
      <w:divBdr>
        <w:top w:val="none" w:sz="0" w:space="0" w:color="auto"/>
        <w:left w:val="none" w:sz="0" w:space="0" w:color="auto"/>
        <w:bottom w:val="none" w:sz="0" w:space="0" w:color="auto"/>
        <w:right w:val="none" w:sz="0" w:space="0" w:color="auto"/>
      </w:divBdr>
    </w:div>
    <w:div w:id="1034230714">
      <w:bodyDiv w:val="1"/>
      <w:marLeft w:val="0"/>
      <w:marRight w:val="0"/>
      <w:marTop w:val="0"/>
      <w:marBottom w:val="0"/>
      <w:divBdr>
        <w:top w:val="none" w:sz="0" w:space="0" w:color="auto"/>
        <w:left w:val="none" w:sz="0" w:space="0" w:color="auto"/>
        <w:bottom w:val="none" w:sz="0" w:space="0" w:color="auto"/>
        <w:right w:val="none" w:sz="0" w:space="0" w:color="auto"/>
      </w:divBdr>
    </w:div>
    <w:div w:id="1201551364">
      <w:bodyDiv w:val="1"/>
      <w:marLeft w:val="0"/>
      <w:marRight w:val="0"/>
      <w:marTop w:val="0"/>
      <w:marBottom w:val="0"/>
      <w:divBdr>
        <w:top w:val="none" w:sz="0" w:space="0" w:color="auto"/>
        <w:left w:val="none" w:sz="0" w:space="0" w:color="auto"/>
        <w:bottom w:val="none" w:sz="0" w:space="0" w:color="auto"/>
        <w:right w:val="none" w:sz="0" w:space="0" w:color="auto"/>
      </w:divBdr>
    </w:div>
    <w:div w:id="1408456927">
      <w:bodyDiv w:val="1"/>
      <w:marLeft w:val="0"/>
      <w:marRight w:val="0"/>
      <w:marTop w:val="0"/>
      <w:marBottom w:val="0"/>
      <w:divBdr>
        <w:top w:val="none" w:sz="0" w:space="0" w:color="auto"/>
        <w:left w:val="none" w:sz="0" w:space="0" w:color="auto"/>
        <w:bottom w:val="none" w:sz="0" w:space="0" w:color="auto"/>
        <w:right w:val="none" w:sz="0" w:space="0" w:color="auto"/>
      </w:divBdr>
    </w:div>
    <w:div w:id="20758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oleObject" Target="embeddings/oleObject4.bin"/><Relationship Id="rId28" Type="http://schemas.openxmlformats.org/officeDocument/2006/relationships/image" Target="media/image16.png"/><Relationship Id="rId10" Type="http://schemas.openxmlformats.org/officeDocument/2006/relationships/oleObject" Target="embeddings/oleObject2.bin"/><Relationship Id="rId19" Type="http://schemas.openxmlformats.org/officeDocument/2006/relationships/image" Target="media/image10.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gif"/><Relationship Id="rId22" Type="http://schemas.openxmlformats.org/officeDocument/2006/relationships/image" Target="media/image13.wmf"/><Relationship Id="rId27" Type="http://schemas.openxmlformats.org/officeDocument/2006/relationships/oleObject" Target="embeddings/oleObject6.bin"/><Relationship Id="rId30" Type="http://schemas.openxmlformats.org/officeDocument/2006/relationships/image" Target="media/image1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198</Pages>
  <Words>61635</Words>
  <Characters>369816</Characters>
  <Application>Microsoft Office Word</Application>
  <DocSecurity>0</DocSecurity>
  <Lines>3081</Lines>
  <Paragraphs>861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dc:creator>
  <cp:keywords/>
  <dc:description/>
  <cp:lastModifiedBy>zdp</cp:lastModifiedBy>
  <cp:revision>28</cp:revision>
  <cp:lastPrinted>2022-06-14T07:48:00Z</cp:lastPrinted>
  <dcterms:created xsi:type="dcterms:W3CDTF">2021-06-14T11:13:00Z</dcterms:created>
  <dcterms:modified xsi:type="dcterms:W3CDTF">2022-06-14T07:54:00Z</dcterms:modified>
</cp:coreProperties>
</file>